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464B1" w14:textId="48417B00" w:rsidR="007213C7" w:rsidRDefault="00CD752C" w:rsidP="000469C2">
      <w:pPr>
        <w:keepNext/>
        <w:rPr>
          <w:b/>
          <w:bCs/>
        </w:rPr>
      </w:pPr>
      <w:r>
        <w:rPr>
          <w:b/>
          <w:bCs/>
        </w:rPr>
        <w:t>To convert</w:t>
      </w:r>
      <w:r w:rsidR="007213C7">
        <w:rPr>
          <w:b/>
          <w:bCs/>
        </w:rPr>
        <w:t xml:space="preserve"> an .IFC file to multiple .CSV files, NIST IFC File </w:t>
      </w:r>
      <w:r w:rsidR="00147C09">
        <w:rPr>
          <w:b/>
          <w:bCs/>
        </w:rPr>
        <w:t>Analyzer</w:t>
      </w:r>
      <w:r w:rsidR="007213C7">
        <w:rPr>
          <w:b/>
          <w:bCs/>
        </w:rPr>
        <w:t xml:space="preserve"> style</w:t>
      </w:r>
    </w:p>
    <w:p w14:paraId="2DADCCCD" w14:textId="3C718ADA" w:rsidR="000A417C" w:rsidRPr="00486F21" w:rsidRDefault="00DA662E" w:rsidP="000469C2">
      <w:pPr>
        <w:keepNext/>
        <w:rPr>
          <w:b/>
          <w:bCs/>
        </w:rPr>
      </w:pPr>
      <w:r>
        <w:rPr>
          <w:b/>
          <w:bCs/>
        </w:rPr>
        <w:t>C2V-</w:t>
      </w:r>
      <w:r w:rsidR="009B79AD" w:rsidRPr="00486F21">
        <w:rPr>
          <w:b/>
          <w:bCs/>
        </w:rPr>
        <w:t>IfcClassList.txt</w:t>
      </w:r>
    </w:p>
    <w:p w14:paraId="6162A9C1" w14:textId="36161C94" w:rsidR="009B79AD" w:rsidRDefault="009B79AD">
      <w:r w:rsidRPr="009B79AD">
        <w:t>A list</w:t>
      </w:r>
      <w:r>
        <w:t xml:space="preserve"> </w:t>
      </w:r>
      <w:r w:rsidRPr="009B79AD">
        <w:t>of ifc classes to</w:t>
      </w:r>
      <w:r>
        <w:t xml:space="preserve"> convert, from </w:t>
      </w:r>
      <w:r w:rsidRPr="00446128">
        <w:rPr>
          <w:b/>
          <w:bCs/>
        </w:rPr>
        <w:t>.IFC</w:t>
      </w:r>
      <w:r>
        <w:t xml:space="preserve"> to </w:t>
      </w:r>
      <w:r w:rsidRPr="00446128">
        <w:rPr>
          <w:b/>
          <w:bCs/>
        </w:rPr>
        <w:t>.CSV</w:t>
      </w:r>
      <w:r>
        <w:t>.</w:t>
      </w:r>
    </w:p>
    <w:p w14:paraId="4B1D769F" w14:textId="66182121" w:rsidR="009B79AD" w:rsidRDefault="009B79AD">
      <w:r>
        <w:t>It has two fields (no heading though): the IfcClass</w:t>
      </w:r>
      <w:r w:rsidR="00717F50">
        <w:t xml:space="preserve"> </w:t>
      </w:r>
      <w:r>
        <w:t>and its general</w:t>
      </w:r>
      <w:r w:rsidR="002B4E33">
        <w:t>ized</w:t>
      </w:r>
      <w:r>
        <w:t xml:space="preserve"> type.</w:t>
      </w:r>
      <w:r w:rsidR="00FE3399">
        <w:t xml:space="preserve"> There are different versions for </w:t>
      </w:r>
      <w:r w:rsidR="00FE3399" w:rsidRPr="00446128">
        <w:rPr>
          <w:b/>
          <w:bCs/>
        </w:rPr>
        <w:t>IFC2x3</w:t>
      </w:r>
      <w:r w:rsidR="00FE3399">
        <w:t xml:space="preserve"> and </w:t>
      </w:r>
      <w:r w:rsidR="00FE3399" w:rsidRPr="00446128">
        <w:rPr>
          <w:b/>
          <w:bCs/>
        </w:rPr>
        <w:t>IFC4</w:t>
      </w:r>
      <w:r w:rsidR="00FE3399">
        <w:t xml:space="preserve"> files.</w:t>
      </w:r>
    </w:p>
    <w:p w14:paraId="22B031B0" w14:textId="4B11DADC" w:rsidR="008A2E7A" w:rsidRDefault="008A2E7A" w:rsidP="008A2E7A">
      <w:r>
        <w:t xml:space="preserve">They </w:t>
      </w:r>
      <w:r w:rsidR="00DA662E">
        <w:t>ar</w:t>
      </w:r>
      <w:r>
        <w:t>e read into an array:</w:t>
      </w:r>
    </w:p>
    <w:p w14:paraId="09841212" w14:textId="20CE3ABD" w:rsidR="008A2E7A" w:rsidRDefault="008A2E7A" w:rsidP="008A2E7A">
      <w:pPr>
        <w:ind w:left="709"/>
        <w:contextualSpacing/>
      </w:pPr>
      <w:r>
        <w:t xml:space="preserve">   // ifc classes to convert from ifc to csv</w:t>
      </w:r>
    </w:p>
    <w:p w14:paraId="174F62BF" w14:textId="2AB5F03E" w:rsidR="008A2E7A" w:rsidRDefault="008A2E7A" w:rsidP="008A2E7A">
      <w:pPr>
        <w:ind w:left="709"/>
      </w:pPr>
      <w:r>
        <w:t xml:space="preserve">   var ifcClassItemList : array of ifcClassItem;</w:t>
      </w:r>
    </w:p>
    <w:p w14:paraId="37A8C8B6" w14:textId="66B46B4B" w:rsidR="008A2E7A" w:rsidRDefault="008A2E7A">
      <w:r>
        <w:t>of the types</w:t>
      </w:r>
    </w:p>
    <w:p w14:paraId="17417ED3" w14:textId="77777777" w:rsidR="008A2E7A" w:rsidRDefault="008A2E7A" w:rsidP="008A2E7A">
      <w:pPr>
        <w:ind w:left="708"/>
        <w:contextualSpacing/>
      </w:pPr>
      <w:r>
        <w:t xml:space="preserve">   TifcField = record</w:t>
      </w:r>
    </w:p>
    <w:p w14:paraId="46AB331A" w14:textId="052AFE58" w:rsidR="008A2E7A" w:rsidRDefault="008A2E7A" w:rsidP="008A2E7A">
      <w:pPr>
        <w:ind w:left="708"/>
        <w:contextualSpacing/>
      </w:pPr>
      <w:r>
        <w:t xml:space="preserve">      </w:t>
      </w:r>
      <w:r w:rsidR="002952D0">
        <w:t>fieldname:</w:t>
      </w:r>
      <w:r>
        <w:t xml:space="preserve"> string;</w:t>
      </w:r>
    </w:p>
    <w:p w14:paraId="30D44D1B" w14:textId="31036D25" w:rsidR="008A2E7A" w:rsidRDefault="008A2E7A" w:rsidP="008A2E7A">
      <w:pPr>
        <w:ind w:left="708"/>
        <w:contextualSpacing/>
      </w:pPr>
      <w:r>
        <w:t xml:space="preserve">      fieldtype : string;</w:t>
      </w:r>
      <w:r w:rsidR="00750DA3">
        <w:tab/>
      </w:r>
      <w:r w:rsidR="00750DA3">
        <w:t>[ text, enumerated, numeric, Boolean, cvalue, id, idlist, cidlist ]</w:t>
      </w:r>
    </w:p>
    <w:p w14:paraId="71656007" w14:textId="09DAF6E2" w:rsidR="00E7461D" w:rsidRDefault="00E7461D" w:rsidP="008A2E7A">
      <w:pPr>
        <w:ind w:left="708"/>
        <w:contextualSpacing/>
      </w:pPr>
      <w:r>
        <w:t xml:space="preserve">      fieldcontent : string;</w:t>
      </w:r>
      <w:r>
        <w:tab/>
        <w:t>values stored for an instance during conversion</w:t>
      </w:r>
    </w:p>
    <w:p w14:paraId="5B9EC46C" w14:textId="77777777" w:rsidR="008A2E7A" w:rsidRDefault="008A2E7A" w:rsidP="008A2E7A">
      <w:pPr>
        <w:ind w:left="708"/>
        <w:contextualSpacing/>
      </w:pPr>
      <w:r>
        <w:t xml:space="preserve">   end;</w:t>
      </w:r>
    </w:p>
    <w:p w14:paraId="74E2453D" w14:textId="77777777" w:rsidR="008A2E7A" w:rsidRDefault="008A2E7A" w:rsidP="008A2E7A">
      <w:pPr>
        <w:ind w:left="708"/>
        <w:contextualSpacing/>
      </w:pPr>
    </w:p>
    <w:p w14:paraId="2787257B" w14:textId="77777777" w:rsidR="008A2E7A" w:rsidRDefault="008A2E7A" w:rsidP="008A2E7A">
      <w:pPr>
        <w:ind w:left="708"/>
        <w:contextualSpacing/>
      </w:pPr>
      <w:r>
        <w:t xml:space="preserve">   TifcInstance = record</w:t>
      </w:r>
    </w:p>
    <w:p w14:paraId="06B59DF4" w14:textId="77777777" w:rsidR="008A2E7A" w:rsidRDefault="008A2E7A" w:rsidP="008A2E7A">
      <w:pPr>
        <w:ind w:left="708"/>
        <w:contextualSpacing/>
      </w:pPr>
      <w:r>
        <w:t xml:space="preserve">      Instance_Id  : string;</w:t>
      </w:r>
    </w:p>
    <w:p w14:paraId="00794AF3" w14:textId="77777777" w:rsidR="008A2E7A" w:rsidRDefault="008A2E7A" w:rsidP="008A2E7A">
      <w:pPr>
        <w:ind w:left="708"/>
        <w:contextualSpacing/>
      </w:pPr>
      <w:r>
        <w:t xml:space="preserve">      Instance_rec : string;</w:t>
      </w:r>
    </w:p>
    <w:p w14:paraId="483CED52" w14:textId="77777777" w:rsidR="008A2E7A" w:rsidRDefault="008A2E7A" w:rsidP="008A2E7A">
      <w:pPr>
        <w:ind w:left="708"/>
        <w:contextualSpacing/>
      </w:pPr>
      <w:r>
        <w:t xml:space="preserve">   end;</w:t>
      </w:r>
    </w:p>
    <w:p w14:paraId="64694099" w14:textId="77777777" w:rsidR="008A2E7A" w:rsidRDefault="008A2E7A" w:rsidP="008A2E7A">
      <w:pPr>
        <w:ind w:left="708"/>
        <w:contextualSpacing/>
      </w:pPr>
    </w:p>
    <w:p w14:paraId="34E022C5" w14:textId="77777777" w:rsidR="008A2E7A" w:rsidRDefault="008A2E7A" w:rsidP="008A2E7A">
      <w:pPr>
        <w:ind w:left="708"/>
        <w:contextualSpacing/>
      </w:pPr>
      <w:r>
        <w:t xml:space="preserve">   // ifc classes to convert from ifc to csv</w:t>
      </w:r>
    </w:p>
    <w:p w14:paraId="15A2BCB5" w14:textId="77777777" w:rsidR="008A2E7A" w:rsidRDefault="008A2E7A" w:rsidP="008A2E7A">
      <w:pPr>
        <w:ind w:left="708"/>
        <w:contextualSpacing/>
      </w:pPr>
      <w:r>
        <w:t xml:space="preserve">   ifcClassItem = record</w:t>
      </w:r>
    </w:p>
    <w:p w14:paraId="1F2E16C4" w14:textId="562BB2DF" w:rsidR="008A2E7A" w:rsidRDefault="008A2E7A" w:rsidP="008A2E7A">
      <w:pPr>
        <w:ind w:left="708"/>
        <w:contextualSpacing/>
      </w:pPr>
      <w:r>
        <w:t xml:space="preserve">      IfcClass: </w:t>
      </w:r>
      <w:r w:rsidR="00B77DFF">
        <w:t>string;</w:t>
      </w:r>
      <w:r w:rsidR="00B77DFF">
        <w:tab/>
      </w:r>
      <w:r>
        <w:t>// member class</w:t>
      </w:r>
    </w:p>
    <w:p w14:paraId="462C1AB8" w14:textId="133FC230" w:rsidR="008A2E7A" w:rsidRDefault="008A2E7A" w:rsidP="008A2E7A">
      <w:pPr>
        <w:ind w:left="708"/>
        <w:contextualSpacing/>
      </w:pPr>
      <w:r>
        <w:t xml:space="preserve">      GeneralIfcClass: string;</w:t>
      </w:r>
      <w:r w:rsidR="00B77DFF">
        <w:tab/>
      </w:r>
      <w:r>
        <w:t>// get field from</w:t>
      </w:r>
    </w:p>
    <w:p w14:paraId="2509E38E" w14:textId="77777777" w:rsidR="008A2E7A" w:rsidRDefault="008A2E7A" w:rsidP="008A2E7A">
      <w:pPr>
        <w:ind w:left="708"/>
        <w:contextualSpacing/>
      </w:pPr>
      <w:r>
        <w:t xml:space="preserve">      fields: array of TifcField;</w:t>
      </w:r>
    </w:p>
    <w:p w14:paraId="076B88D8" w14:textId="635FA8D0" w:rsidR="008A2E7A" w:rsidRDefault="008A2E7A" w:rsidP="008A2E7A">
      <w:pPr>
        <w:ind w:left="708"/>
        <w:contextualSpacing/>
      </w:pPr>
      <w:r>
        <w:t xml:space="preserve">      </w:t>
      </w:r>
      <w:r w:rsidR="002952D0">
        <w:t>instances:</w:t>
      </w:r>
      <w:r>
        <w:t xml:space="preserve"> array of TifcInstance;</w:t>
      </w:r>
    </w:p>
    <w:p w14:paraId="24329321" w14:textId="436D7A2B" w:rsidR="008A2E7A" w:rsidRDefault="008A2E7A" w:rsidP="008A2E7A">
      <w:pPr>
        <w:ind w:left="709"/>
      </w:pPr>
      <w:r>
        <w:t xml:space="preserve">   end;</w:t>
      </w:r>
    </w:p>
    <w:p w14:paraId="0058AADA" w14:textId="20158ACA" w:rsidR="008A2E7A" w:rsidRDefault="00DA662E">
      <w:r>
        <w:t>Fields’ names and types are read from the corresponding C2V-&lt;GeneralIfcClass&gt;.txt files.</w:t>
      </w:r>
    </w:p>
    <w:p w14:paraId="69A8CC08" w14:textId="25AD8B3C" w:rsidR="00FE3399" w:rsidRDefault="00FE3399">
      <w:r>
        <w:t>For any building elements (and their types or styles) in the list, the general</w:t>
      </w:r>
      <w:r w:rsidR="002B4E33">
        <w:t>ized</w:t>
      </w:r>
      <w:r>
        <w:t xml:space="preserve"> </w:t>
      </w:r>
      <w:r w:rsidR="002B4E33">
        <w:t>structures</w:t>
      </w:r>
      <w:r>
        <w:t xml:space="preserve"> are described in the </w:t>
      </w:r>
      <w:r w:rsidRPr="00FE3399">
        <w:rPr>
          <w:b/>
          <w:bCs/>
        </w:rPr>
        <w:t>IfcBldgElement.txt</w:t>
      </w:r>
      <w:r>
        <w:t xml:space="preserve"> and </w:t>
      </w:r>
      <w:r w:rsidRPr="00FE3399">
        <w:rPr>
          <w:b/>
          <w:bCs/>
        </w:rPr>
        <w:t>IfcBldgElementType.txt</w:t>
      </w:r>
      <w:r>
        <w:t xml:space="preserve"> files. In the case of an </w:t>
      </w:r>
      <w:r w:rsidRPr="00446128">
        <w:rPr>
          <w:b/>
          <w:bCs/>
        </w:rPr>
        <w:t>IFC2x3</w:t>
      </w:r>
      <w:r>
        <w:t xml:space="preserve"> model version, Windows and Doors are associated to a style rather than a type, in the file </w:t>
      </w:r>
      <w:r w:rsidRPr="00FE3399">
        <w:rPr>
          <w:b/>
          <w:bCs/>
        </w:rPr>
        <w:t>IfcDoorOrWindowStyle.txt</w:t>
      </w:r>
      <w:r>
        <w:t>.</w:t>
      </w:r>
    </w:p>
    <w:p w14:paraId="7FC9FCAB" w14:textId="32CF0051" w:rsidR="00FE3399" w:rsidRDefault="00C44493">
      <w:r>
        <w:t xml:space="preserve">For other elements, where </w:t>
      </w:r>
      <w:r w:rsidR="002B4E33">
        <w:t xml:space="preserve">a </w:t>
      </w:r>
      <w:r>
        <w:t>general</w:t>
      </w:r>
      <w:r w:rsidR="002B4E33">
        <w:t>ized form</w:t>
      </w:r>
      <w:r>
        <w:t xml:space="preserve"> is not provided in the input file, that classes’ data structure is unique.</w:t>
      </w:r>
      <w:r w:rsidR="00717F50">
        <w:t xml:space="preserve"> In this case, </w:t>
      </w:r>
      <w:r w:rsidR="008845CF">
        <w:t xml:space="preserve">the classes’ field structure </w:t>
      </w:r>
      <w:r w:rsidR="00C96C74">
        <w:t xml:space="preserve">will populate </w:t>
      </w:r>
      <w:r w:rsidR="008845CF">
        <w:t xml:space="preserve">its </w:t>
      </w:r>
      <w:r w:rsidR="008845CF" w:rsidRPr="008845CF">
        <w:rPr>
          <w:b/>
          <w:bCs/>
        </w:rPr>
        <w:t>fields</w:t>
      </w:r>
      <w:r w:rsidR="008845CF">
        <w:t xml:space="preserve"> array (as described further). </w:t>
      </w:r>
      <w:r w:rsidR="00717F50">
        <w:t xml:space="preserve">When a generalized form is provided, the </w:t>
      </w:r>
      <w:r w:rsidR="008845CF">
        <w:t xml:space="preserve">classes’ field structure will be read from the corresponding generalized </w:t>
      </w:r>
      <w:r w:rsidR="00C96C74">
        <w:t xml:space="preserve">class </w:t>
      </w:r>
      <w:r w:rsidR="008845CF" w:rsidRPr="0009678A">
        <w:t>field</w:t>
      </w:r>
      <w:r w:rsidR="008845CF">
        <w:t xml:space="preserve"> </w:t>
      </w:r>
      <w:r w:rsidR="00FC6027">
        <w:t>list</w:t>
      </w:r>
      <w:r w:rsidR="008845CF">
        <w:t>.</w:t>
      </w:r>
    </w:p>
    <w:p w14:paraId="28C9A89D" w14:textId="09C5C6EE" w:rsidR="00C44493" w:rsidRDefault="00C44493">
      <w:r>
        <w:t xml:space="preserve">Classes that are not of use to this application are not listed in </w:t>
      </w:r>
      <w:r w:rsidRPr="00446128">
        <w:rPr>
          <w:b/>
          <w:bCs/>
        </w:rPr>
        <w:t>IfcClassList.txt</w:t>
      </w:r>
      <w:r>
        <w:t xml:space="preserve"> and will be skipped when the IFC file</w:t>
      </w:r>
      <w:r w:rsidR="00446128">
        <w:t xml:space="preserve"> is converted to IFC.</w:t>
      </w:r>
    </w:p>
    <w:p w14:paraId="0114A607" w14:textId="0857ABC7" w:rsidR="00446128" w:rsidRPr="00725C71" w:rsidRDefault="00725C71" w:rsidP="000469C2">
      <w:pPr>
        <w:keepNext/>
        <w:rPr>
          <w:b/>
          <w:bCs/>
        </w:rPr>
      </w:pPr>
      <w:r w:rsidRPr="00725C71">
        <w:rPr>
          <w:b/>
          <w:bCs/>
        </w:rPr>
        <w:t>IfcProject – IfcBldgElement – IfcSpace – IfcZone.txt</w:t>
      </w:r>
    </w:p>
    <w:p w14:paraId="23EAB130" w14:textId="25D194C3" w:rsidR="00725C71" w:rsidRDefault="001746B0">
      <w:r>
        <w:t>Each file contains the set of fields that occur within the corresponding ifc class or classes represented by it</w:t>
      </w:r>
      <w:r w:rsidR="000837C1">
        <w:t>.</w:t>
      </w:r>
    </w:p>
    <w:p w14:paraId="718BF21E" w14:textId="630DF655" w:rsidR="00725C71" w:rsidRDefault="000837C1">
      <w:r>
        <w:lastRenderedPageBreak/>
        <w:t xml:space="preserve">They have two or mode fields, depending on its data type. Field of type </w:t>
      </w:r>
      <w:r w:rsidRPr="000837C1">
        <w:rPr>
          <w:b/>
          <w:bCs/>
        </w:rPr>
        <w:t>id</w:t>
      </w:r>
      <w:r>
        <w:t xml:space="preserve"> isn’t the actual</w:t>
      </w:r>
      <w:r w:rsidR="00CB4076">
        <w:rPr>
          <w:rStyle w:val="Refdenotaderodap"/>
        </w:rPr>
        <w:footnoteReference w:id="1"/>
      </w:r>
      <w:r>
        <w:t xml:space="preserve"> </w:t>
      </w:r>
      <w:r w:rsidRPr="00401722">
        <w:rPr>
          <w:b/>
          <w:bCs/>
        </w:rPr>
        <w:t>id</w:t>
      </w:r>
      <w:r>
        <w:t xml:space="preserve"> of an instance of that class, but the </w:t>
      </w:r>
      <w:r w:rsidRPr="00401722">
        <w:rPr>
          <w:b/>
          <w:bCs/>
        </w:rPr>
        <w:t>id</w:t>
      </w:r>
      <w:r>
        <w:t xml:space="preserve"> of a</w:t>
      </w:r>
      <w:r w:rsidR="00A100E0">
        <w:t xml:space="preserve"> </w:t>
      </w:r>
      <w:r w:rsidR="00CB4076">
        <w:t>referenced</w:t>
      </w:r>
      <w:r>
        <w:t xml:space="preserve"> </w:t>
      </w:r>
      <w:r w:rsidR="00401722">
        <w:t>class.</w:t>
      </w:r>
      <w:r w:rsidR="00CB4076">
        <w:t xml:space="preserve"> Table 1 shows ifc classes that are referenced by classes listed in </w:t>
      </w:r>
      <w:r w:rsidR="0087275B" w:rsidRPr="0087275B">
        <w:rPr>
          <w:b/>
          <w:bCs/>
        </w:rPr>
        <w:t>C2V-</w:t>
      </w:r>
      <w:r w:rsidR="00CB4076" w:rsidRPr="0087275B">
        <w:rPr>
          <w:b/>
          <w:bCs/>
        </w:rPr>
        <w:t>I</w:t>
      </w:r>
      <w:r w:rsidR="00CB4076" w:rsidRPr="00446128">
        <w:rPr>
          <w:b/>
          <w:bCs/>
        </w:rPr>
        <w:t>fcClassList.txt</w:t>
      </w:r>
      <w:r w:rsidR="00CB4076" w:rsidRPr="00CB4076">
        <w:t>.</w:t>
      </w:r>
    </w:p>
    <w:p w14:paraId="3B7D88E5" w14:textId="3439484A" w:rsidR="0087275B" w:rsidRDefault="0087275B">
      <w:r>
        <w:t>Names of classes that are referenced but not listed in the above cited file are exhibited in gray.</w:t>
      </w:r>
      <w:r w:rsidR="0007149B">
        <w:t xml:space="preserve"> Meaning that</w:t>
      </w:r>
      <w:r w:rsidR="00CF1AEC">
        <w:t>,</w:t>
      </w:r>
      <w:r w:rsidR="0007149B">
        <w:t xml:space="preserve"> if not found</w:t>
      </w:r>
      <w:r w:rsidR="00CF1AEC">
        <w:t>,</w:t>
      </w:r>
      <w:r w:rsidR="0007149B">
        <w:t xml:space="preserve"> they will receive null values, i.e., no value between parenthesis.</w:t>
      </w:r>
    </w:p>
    <w:p w14:paraId="6868F1C0" w14:textId="77777777" w:rsidR="00747125" w:rsidRPr="00CB4076" w:rsidRDefault="00747125"/>
    <w:p w14:paraId="56C32A40" w14:textId="77777777" w:rsidR="00C21E37" w:rsidRDefault="00C21E37">
      <w:pPr>
        <w:sectPr w:rsidR="00C21E3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41A8216C" w14:textId="409C77BB" w:rsidR="00C21E37" w:rsidRDefault="007E7345" w:rsidP="004A55C5">
      <w:pPr>
        <w:spacing w:after="80"/>
      </w:pPr>
      <w:r>
        <w:lastRenderedPageBreak/>
        <w:t xml:space="preserve">Table </w:t>
      </w:r>
      <w:r w:rsidR="00A100E0">
        <w:t>1</w:t>
      </w:r>
      <w:r>
        <w:t xml:space="preserve"> – ifc classes that are referenced by other ifc classes</w:t>
      </w:r>
    </w:p>
    <w:tbl>
      <w:tblPr>
        <w:tblW w:w="21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828"/>
        <w:gridCol w:w="1294"/>
        <w:gridCol w:w="1015"/>
        <w:gridCol w:w="931"/>
        <w:gridCol w:w="1294"/>
        <w:gridCol w:w="781"/>
        <w:gridCol w:w="1221"/>
        <w:gridCol w:w="1474"/>
        <w:gridCol w:w="1302"/>
        <w:gridCol w:w="1020"/>
        <w:gridCol w:w="976"/>
        <w:gridCol w:w="929"/>
        <w:gridCol w:w="966"/>
        <w:gridCol w:w="789"/>
        <w:gridCol w:w="1302"/>
        <w:gridCol w:w="818"/>
        <w:gridCol w:w="929"/>
        <w:gridCol w:w="976"/>
        <w:gridCol w:w="759"/>
      </w:tblGrid>
      <w:tr w:rsidR="007B1FF4" w:rsidRPr="007B1FF4" w14:paraId="4535E7CE" w14:textId="77777777" w:rsidTr="007B1FF4">
        <w:trPr>
          <w:trHeight w:val="19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769B" w14:textId="77777777" w:rsidR="007B1FF4" w:rsidRPr="00EC69B4" w:rsidRDefault="007B1FF4" w:rsidP="007B1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5141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09E6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IfcGeometric Representation Context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AC74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IfcUnit Assignment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455B" w14:textId="5922BE74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IfcGrid Placement</w:t>
            </w:r>
            <w:r w:rsidR="00A229DE"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br/>
            </w: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br/>
              <w:t>IfcLocal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0A31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eastAsia="pt-BR"/>
                <w14:ligatures w14:val="none"/>
              </w:rPr>
              <w:t>IfcMaterial Definition Representation</w:t>
            </w: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eastAsia="pt-BR"/>
                <w14:ligatures w14:val="none"/>
              </w:rPr>
              <w:br/>
              <w:t>IfcProduct Definition Shape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DFDA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IfcPostal Address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7D384" w14:textId="077D96AF" w:rsidR="007B1FF4" w:rsidRPr="007B1FF4" w:rsidRDefault="004A55C5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( </w:t>
            </w:r>
            <w:r w:rsidR="007B1FF4"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IfcProperty SetDefinition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A5A7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87275B">
              <w:rPr>
                <w:rFonts w:ascii="Calibri" w:eastAsia="Times New Roman" w:hAnsi="Calibri" w:cs="Calibri"/>
                <w:b/>
                <w:bCs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IfcRepresentation Map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DC6F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IfcClassification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71154" w14:textId="3F88DC5C" w:rsidR="007B1FF4" w:rsidRPr="007B1FF4" w:rsidRDefault="00984941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( </w:t>
            </w:r>
            <w:r w:rsidR="007B1FF4"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IfcPhysical Quantity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0994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IfcComplex Property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IfcProperty Single Value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644B8" w14:textId="45B3AA8A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IfcProject</w:t>
            </w:r>
            <w:r w:rsidR="00A229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IfcSite</w:t>
            </w:r>
            <w:r w:rsidR="00A229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IfcBuilding</w:t>
            </w:r>
            <w:r w:rsidR="00A229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IfcBuilding Storey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IfcBldg Element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6F23A" w14:textId="419F0A8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IfcSite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IfcBuilding</w:t>
            </w:r>
            <w:r w:rsidR="00A229D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IfcBuilding Storey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IfcSpace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IfcMember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77B6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IfcGroup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br/>
              <w:t>IfcZone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6F51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IfcClassification Reference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4596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IfcBldg Element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5ADA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IfcBuilding Storey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41AE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IfcElement Quantity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br/>
              <w:t>IfcProperty Set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959C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IfcBldg Element Type</w:t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</w: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br/>
              <w:t>IfcSpace Type</w:t>
            </w:r>
          </w:p>
        </w:tc>
      </w:tr>
      <w:tr w:rsidR="007B1FF4" w:rsidRPr="007B1FF4" w14:paraId="16F04441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B2B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IfcProject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7BB8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1ECBC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3B3838" w:themeColor="background2" w:themeShade="4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 Contexts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38EE4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3B3838" w:themeColor="background2" w:themeShade="4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UnitsIn Context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4D62D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8D5E42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9E1F0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1A3E1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2CCE8A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06F31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A9773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4ECD4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926BA6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CA849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4DA06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0E3EB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B89DDE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11FF7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8171C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F7F14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E94CA15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371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IfcSite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895F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EEECB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FB1DB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FC009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Object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6E8D8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F7C91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Site Adress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5A6ED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F5AEF5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9DCB0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81C7B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BD8B0E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307181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34B89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B9B8C6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66E1D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F3412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16A67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FE144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5BCB5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32C153E7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5CA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IfcBuilding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5128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AA5331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A5D5F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E520D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Object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E972A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9E2F3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Building Address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74631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092E0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37E53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612F9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6ABD8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F65E9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98235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91BCC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90483F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D46D0B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C1518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623EA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B09670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6620A10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83C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IfcSpace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878B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DB848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5791C6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31C3F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Object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F5049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D7F19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5BFC0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7DF9D9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8AD5A8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77FC5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1847A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181DEC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4B937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641D2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FBF6FE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34F21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38624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1E21D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5061BB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3AC7CC05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D7E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IfcSpaceType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FE62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5D3E3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28618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315B1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7F86C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0622D7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7691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HasProperty Sets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7E4B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 Maps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DED56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AE2A8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A29A3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0419A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5939C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09F81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7F1C5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6EFFD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5A74F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46CE2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5E6EA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082A9567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9D0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IfcZone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60A4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141FC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12F52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546C7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D1855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DF452D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1AB07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F1869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C5779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89E9B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D7259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C9AFC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6844E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D26FCF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BC3ADC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CEDA21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37082E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59DDD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A11EE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2CFD662B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46F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IfcBuildingStorey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9549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0DE23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BAB4F6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15DCA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Object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B32C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B17FF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4861C0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EE7D2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34432F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64C40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C0987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5A5938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195F6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6E0FE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657CD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7429F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87AAFF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BE4CC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9486A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3EB3409A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426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IfcClassificationReference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107D5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A6823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DDAC7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2DB46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6DF01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89F753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5FE1C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1651DE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910D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Referenced Source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B48E85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064DB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DF2AF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80DB6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6E517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4391C6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0355C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FEECF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D59D9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0C80B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2C6AD0EB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366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IfcElementQuantity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DDAD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B0763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2B30FB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A6EB81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9A528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F5CFA0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EFE6F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A7C22B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74D8F6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3BEC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Quantities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A3AE05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FBE243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80BA1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170938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6D83CD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A3EB8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B8FCD4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6C2BC7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C5DAE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96FF43D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7F6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IfcPropertySet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E009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B1A719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84463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863A5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79FD3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FF320D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406C8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B8FE09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A6E1A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22ADE3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BC01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Has Properties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242F1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2F097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8B66C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F3023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CA8BF9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CBB66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220D16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0E236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56114067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A43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IfcRelAggregates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E7C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6AF279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88ECBA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28CDC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D6AC63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4425EE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3EBB1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9C945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7F464F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5D12B0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6C44D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AE19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Object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E7CF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Objects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9CA7E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8E348F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74624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EB69E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4AA58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1BCE10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DA3D4E6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831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IfcRelAssignsToGroup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2C54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2620A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BFC94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698EF5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42210C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EA830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B16A2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412B8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2F0AE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7C2BA6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475E3E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9B3D5C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CFF1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Objects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41B3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Group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3449D0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48775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917637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4F4D0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4BEBD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1AB3333B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592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IfcRelAssociatesClassification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78EE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801D8B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E378B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69AB99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8CF40D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F6F6D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681FD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9A92D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0005C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BEA0AD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AFB83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3C1B5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0780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Objects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3A2FB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6355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Classification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77F4C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BF5A73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1DDD8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C83C0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044A78AC" w14:textId="77777777" w:rsidTr="007B1FF4">
        <w:trPr>
          <w:trHeight w:val="7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26B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IfcRelContainedInSpatialStructure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8055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F29F6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DAB59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756D6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F1C32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D7BF3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CFDFA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C4ADE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4FC69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A8262A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0E70F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10693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A1CA7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DFE18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DC1D1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59B0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Elements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85B6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Structure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547DA7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958CE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16D74C31" w14:textId="77777777" w:rsidTr="007B1FF4">
        <w:trPr>
          <w:trHeight w:val="7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054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IfcRelDefinesByProperties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C1D6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106BA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FFD0B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F6186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12014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5C8CC6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57493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69F9D3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4600F1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2FCEB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19B81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AB7347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5E18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Objects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C8AA9E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A4C7E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96B42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8AFD8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D4CC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Property Definition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1E7709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2B740E2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A68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IfcRelDefinesByType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B61C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B22BB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A43D5F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74127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F594D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5C7AC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8DF5A1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8F315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F64B76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DD2B1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C9B84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AFC08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AE0F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Related Objects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F15A50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69891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7BDE98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B4277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5B217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01AF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Relating Type</w:t>
            </w:r>
          </w:p>
        </w:tc>
      </w:tr>
      <w:tr w:rsidR="007B1FF4" w:rsidRPr="007B1FF4" w14:paraId="5F793B27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FF1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IfcBldgElement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5BDF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D471B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11B1E9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9D81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Object Placement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74F3C" w14:textId="77777777" w:rsidR="007B1FF4" w:rsidRPr="00AA5DBC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AA5DBC">
              <w:rPr>
                <w:rFonts w:ascii="Calibri" w:eastAsia="Times New Roman" w:hAnsi="Calibri" w:cs="Calibri"/>
                <w:color w:val="767171" w:themeColor="background2" w:themeShade="80"/>
                <w:kern w:val="0"/>
                <w:sz w:val="18"/>
                <w:szCs w:val="18"/>
                <w:lang w:val="pt-BR" w:eastAsia="pt-BR"/>
                <w14:ligatures w14:val="none"/>
              </w:rPr>
              <w:t>Representation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7875D8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1BEEB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DA2BBA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706AEB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6699EA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F7AC3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97252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7A361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791AA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FFF81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2DC92F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3000CE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FC436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FB28A8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47E51CB5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266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IfcBldgElementType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121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AFB99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6EFF3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42A1E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49CD1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4EEC8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6231C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HasProperty Sets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DB81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Representation Maps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5B6EA4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BB07D3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BFA50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2BE54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078A7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656ECF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CE7AE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F4CE2D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3A6B7B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DE35D2B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7A2B8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  <w:tr w:rsidR="007B1FF4" w:rsidRPr="007B1FF4" w14:paraId="72CC6D7D" w14:textId="77777777" w:rsidTr="007B1FF4">
        <w:trPr>
          <w:trHeight w:val="4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21F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IfcDoorOrWindowStyle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4101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Owner History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0A6E7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3CADD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E5C615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ECD737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F092CAD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3BE91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HasProperty Sets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292B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Representation Maps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B3991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044DE2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2CCB18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F781216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5AC2F0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F54F3A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DED15F9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70CA3F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0BC18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B0D495E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C45A63" w14:textId="77777777" w:rsidR="007B1FF4" w:rsidRPr="007B1FF4" w:rsidRDefault="007B1FF4" w:rsidP="007B1F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</w:pPr>
            <w:r w:rsidRPr="007B1F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pt-BR" w:eastAsia="pt-BR"/>
                <w14:ligatures w14:val="none"/>
              </w:rPr>
              <w:t> </w:t>
            </w:r>
          </w:p>
        </w:tc>
      </w:tr>
    </w:tbl>
    <w:p w14:paraId="4922BD7A" w14:textId="77777777" w:rsidR="00C63E1D" w:rsidRDefault="00C63E1D"/>
    <w:p w14:paraId="1838B99C" w14:textId="77777777" w:rsidR="00C21E37" w:rsidRDefault="00C21E37">
      <w:pPr>
        <w:sectPr w:rsidR="00C21E37" w:rsidSect="00C63E1D">
          <w:pgSz w:w="23811" w:h="16838" w:orient="landscape" w:code="8"/>
          <w:pgMar w:top="720" w:right="720" w:bottom="720" w:left="720" w:header="708" w:footer="708" w:gutter="0"/>
          <w:cols w:space="708"/>
          <w:docGrid w:linePitch="360"/>
        </w:sectPr>
      </w:pPr>
    </w:p>
    <w:p w14:paraId="5FCF56E0" w14:textId="54F8049A" w:rsidR="00612378" w:rsidRDefault="00612378" w:rsidP="00A100E0">
      <w:r>
        <w:lastRenderedPageBreak/>
        <w:t xml:space="preserve">Fields of type </w:t>
      </w:r>
      <w:r w:rsidRPr="00A343BB">
        <w:rPr>
          <w:b/>
          <w:bCs/>
        </w:rPr>
        <w:t>text</w:t>
      </w:r>
      <w:r>
        <w:t xml:space="preserve"> are enclosed in quotes, e.g.</w:t>
      </w:r>
      <w:r w:rsidR="00A343BB">
        <w:t>,</w:t>
      </w:r>
      <w:r>
        <w:t xml:space="preserve"> </w:t>
      </w:r>
      <w:r w:rsidR="001A1FA7" w:rsidRPr="001A1FA7">
        <w:t>'Pset_WindowCommon'</w:t>
      </w:r>
    </w:p>
    <w:p w14:paraId="5230DBCA" w14:textId="732BC8B8" w:rsidR="003C4BA3" w:rsidRDefault="003C4BA3" w:rsidP="003C4BA3">
      <w:pPr>
        <w:ind w:left="708"/>
      </w:pPr>
      <w:r>
        <w:t>They are coded in the same way in the CSV file</w:t>
      </w:r>
    </w:p>
    <w:p w14:paraId="3953B71E" w14:textId="42CD31B0" w:rsidR="00A343BB" w:rsidRDefault="00A343BB" w:rsidP="00A100E0">
      <w:pPr>
        <w:rPr>
          <w:sz w:val="32"/>
          <w:szCs w:val="32"/>
        </w:rPr>
      </w:pPr>
      <w:r>
        <w:t xml:space="preserve">Fields of type </w:t>
      </w:r>
      <w:r w:rsidRPr="00A343BB">
        <w:rPr>
          <w:b/>
          <w:bCs/>
        </w:rPr>
        <w:t>enumerated</w:t>
      </w:r>
      <w:r>
        <w:t xml:space="preserve"> </w:t>
      </w:r>
      <w:r w:rsidR="00FF3D5F">
        <w:t xml:space="preserve">and </w:t>
      </w:r>
      <w:r w:rsidR="00FF3D5F">
        <w:rPr>
          <w:b/>
          <w:bCs/>
        </w:rPr>
        <w:t>b</w:t>
      </w:r>
      <w:r w:rsidR="00FF3D5F" w:rsidRPr="00FF3D5F">
        <w:rPr>
          <w:b/>
          <w:bCs/>
        </w:rPr>
        <w:t>oolean</w:t>
      </w:r>
      <w:r w:rsidR="00FF3D5F">
        <w:t xml:space="preserve"> </w:t>
      </w:r>
      <w:r>
        <w:t xml:space="preserve">are enclosed in periods, e.g., </w:t>
      </w:r>
      <w:r w:rsidRPr="004E3427">
        <w:rPr>
          <w:sz w:val="32"/>
          <w:szCs w:val="32"/>
        </w:rPr>
        <w:t>.</w:t>
      </w:r>
      <w:r w:rsidRPr="00A343BB">
        <w:t>ELEMENT</w:t>
      </w:r>
      <w:r w:rsidRPr="004E3427">
        <w:rPr>
          <w:sz w:val="32"/>
          <w:szCs w:val="32"/>
        </w:rPr>
        <w:t>.</w:t>
      </w:r>
      <w:r>
        <w:t xml:space="preserve"> </w:t>
      </w:r>
      <w:r w:rsidR="00FF3D5F">
        <w:t xml:space="preserve">, </w:t>
      </w:r>
      <w:r w:rsidR="00FF3D5F" w:rsidRPr="004E3427">
        <w:rPr>
          <w:sz w:val="32"/>
          <w:szCs w:val="32"/>
        </w:rPr>
        <w:t>.</w:t>
      </w:r>
      <w:r w:rsidR="00FF3D5F">
        <w:t>T</w:t>
      </w:r>
      <w:r w:rsidR="00FF3D5F" w:rsidRPr="004E3427">
        <w:rPr>
          <w:sz w:val="32"/>
          <w:szCs w:val="32"/>
        </w:rPr>
        <w:t>.</w:t>
      </w:r>
    </w:p>
    <w:p w14:paraId="27D06ABC" w14:textId="77777777" w:rsidR="00084617" w:rsidRDefault="00084617" w:rsidP="00084617">
      <w:pPr>
        <w:ind w:left="708"/>
      </w:pPr>
      <w:r>
        <w:t>They are coded in the same way in the CSV file</w:t>
      </w:r>
    </w:p>
    <w:p w14:paraId="1E3D3903" w14:textId="1D11CB4B" w:rsidR="00612378" w:rsidRDefault="001A1FA7" w:rsidP="00A100E0">
      <w:r>
        <w:t xml:space="preserve">Fields of type </w:t>
      </w:r>
      <w:r w:rsidRPr="00A343BB">
        <w:rPr>
          <w:b/>
          <w:bCs/>
        </w:rPr>
        <w:t>numeric</w:t>
      </w:r>
      <w:r w:rsidR="00A623DC">
        <w:t xml:space="preserve"> </w:t>
      </w:r>
      <w:r>
        <w:t xml:space="preserve">are not enclosed, e.g., </w:t>
      </w:r>
      <w:r w:rsidRPr="001A1FA7">
        <w:t>1.9712</w:t>
      </w:r>
    </w:p>
    <w:p w14:paraId="7B72965D" w14:textId="33C18AA8" w:rsidR="003C4BA3" w:rsidRDefault="003C4BA3" w:rsidP="003C4BA3">
      <w:pPr>
        <w:ind w:left="708"/>
      </w:pPr>
      <w:r>
        <w:t>They are coded in the same way in the CSV file</w:t>
      </w:r>
    </w:p>
    <w:p w14:paraId="4EB40CC6" w14:textId="77777777" w:rsidR="000844B7" w:rsidRPr="00EE6EC8" w:rsidRDefault="001A1FA7" w:rsidP="007C5D4B">
      <w:pPr>
        <w:keepNext/>
      </w:pPr>
      <w:r w:rsidRPr="00EE6EC8">
        <w:t xml:space="preserve">Fields of type </w:t>
      </w:r>
      <w:r w:rsidR="00A343BB" w:rsidRPr="00EE6EC8">
        <w:rPr>
          <w:b/>
          <w:bCs/>
        </w:rPr>
        <w:t>cvalue</w:t>
      </w:r>
      <w:r w:rsidR="00A343BB" w:rsidRPr="00EE6EC8">
        <w:t xml:space="preserve"> can be of any of the above types, but they are enclosed in parenthesis, following a SELECT IfcValue, e.g.,</w:t>
      </w:r>
    </w:p>
    <w:p w14:paraId="242FEF9B" w14:textId="43FC8802" w:rsidR="001A1FA7" w:rsidRPr="00EE6EC8" w:rsidRDefault="00A343BB" w:rsidP="00EE6EC8">
      <w:pPr>
        <w:keepNext/>
        <w:keepLines/>
        <w:spacing w:line="360" w:lineRule="auto"/>
        <w:ind w:left="1416"/>
      </w:pPr>
      <w:r w:rsidRPr="00EE6EC8">
        <w:t>IFCIDENTIFIER('Concreto Armado - Estrutural 190 x 360')</w:t>
      </w:r>
      <w:r w:rsidR="000844B7" w:rsidRPr="00EE6EC8">
        <w:br/>
      </w:r>
      <w:r w:rsidRPr="00EE6EC8">
        <w:t>IFCLABEL('')</w:t>
      </w:r>
      <w:r w:rsidR="000844B7" w:rsidRPr="00EE6EC8">
        <w:br/>
      </w:r>
      <w:r w:rsidRPr="00EE6EC8">
        <w:t>IFCBOOLEAN(</w:t>
      </w:r>
      <w:r w:rsidRPr="00EE6EC8">
        <w:rPr>
          <w:sz w:val="32"/>
          <w:szCs w:val="32"/>
        </w:rPr>
        <w:t>.</w:t>
      </w:r>
      <w:r w:rsidRPr="00EE6EC8">
        <w:t>T</w:t>
      </w:r>
      <w:r w:rsidRPr="00EE6EC8">
        <w:rPr>
          <w:sz w:val="32"/>
          <w:szCs w:val="32"/>
        </w:rPr>
        <w:t>.</w:t>
      </w:r>
      <w:r w:rsidRPr="00EE6EC8">
        <w:t>)</w:t>
      </w:r>
      <w:r w:rsidR="000844B7" w:rsidRPr="00EE6EC8">
        <w:br/>
      </w:r>
      <w:r w:rsidRPr="00EE6EC8">
        <w:t>IFCTEXT('363.897 (kgCO\X2\2082\X0\</w:t>
      </w:r>
      <w:r w:rsidR="00286809" w:rsidRPr="00EE6EC8">
        <w:t>)’</w:t>
      </w:r>
      <w:r w:rsidRPr="00EE6EC8">
        <w:t>)</w:t>
      </w:r>
      <w:r w:rsidR="000844B7" w:rsidRPr="00EE6EC8">
        <w:br/>
      </w:r>
      <w:r w:rsidRPr="00EE6EC8">
        <w:t>IFCENERGYMEASURE(3503.63411157)</w:t>
      </w:r>
    </w:p>
    <w:p w14:paraId="669B963D" w14:textId="31EB9C9F" w:rsidR="00A50425" w:rsidRPr="00EE6EC8" w:rsidRDefault="00EE6EC8" w:rsidP="00EE6EC8">
      <w:pPr>
        <w:ind w:left="708"/>
      </w:pPr>
      <w:r w:rsidRPr="00EE6EC8">
        <w:t>Only what’s inside the parenthesis is coded in the CSV File, e.g.,</w:t>
      </w:r>
    </w:p>
    <w:p w14:paraId="7009693A" w14:textId="7AE32A05" w:rsidR="00EE6EC8" w:rsidRPr="00EE6EC8" w:rsidRDefault="00EE6EC8" w:rsidP="00EE6EC8">
      <w:pPr>
        <w:ind w:left="1416"/>
      </w:pPr>
      <w:r w:rsidRPr="00EE6EC8">
        <w:t>'Concreto Armado - Estrutural 190 x 360'</w:t>
      </w:r>
    </w:p>
    <w:p w14:paraId="340D87E0" w14:textId="54B084BD" w:rsidR="00EE6EC8" w:rsidRPr="00EE6EC8" w:rsidRDefault="00EE6EC8" w:rsidP="00EE6EC8">
      <w:pPr>
        <w:ind w:left="1416"/>
      </w:pPr>
      <w:r w:rsidRPr="00EE6EC8">
        <w:t>.T.</w:t>
      </w:r>
    </w:p>
    <w:p w14:paraId="6152640D" w14:textId="275A1A21" w:rsidR="00EE6EC8" w:rsidRPr="00EE6EC8" w:rsidRDefault="00EE6EC8" w:rsidP="00EE6EC8">
      <w:pPr>
        <w:ind w:left="1416"/>
      </w:pPr>
      <w:r w:rsidRPr="00EE6EC8">
        <w:t>'363.897 (kgCO\X2\2082\X0\)’</w:t>
      </w:r>
    </w:p>
    <w:p w14:paraId="35F59731" w14:textId="0F83BE7E" w:rsidR="00EE6EC8" w:rsidRPr="00EE6EC8" w:rsidRDefault="00EE6EC8" w:rsidP="00EE6EC8">
      <w:pPr>
        <w:ind w:left="1416"/>
      </w:pPr>
      <w:r w:rsidRPr="00EE6EC8">
        <w:t>3503.63411157</w:t>
      </w:r>
    </w:p>
    <w:p w14:paraId="6054E3F7" w14:textId="60CD1ADB" w:rsidR="00D7021C" w:rsidRDefault="00D7021C" w:rsidP="00D7021C">
      <w:pPr>
        <w:ind w:left="708"/>
      </w:pPr>
      <w:r w:rsidRPr="00AB684C">
        <w:rPr>
          <w:b/>
          <w:bCs/>
        </w:rPr>
        <w:t>Note</w:t>
      </w:r>
      <w:r>
        <w:t>: Quotes take precedence over any other symbol</w:t>
      </w:r>
      <w:r w:rsidR="0024673E">
        <w:t xml:space="preserve"> – everything inside is text</w:t>
      </w:r>
      <w:r w:rsidR="00E46168">
        <w:t xml:space="preserve">, including </w:t>
      </w:r>
      <w:r w:rsidR="00DD0FD5">
        <w:t xml:space="preserve">what would be separators, e.g., </w:t>
      </w:r>
      <w:r w:rsidR="00E46168">
        <w:t>parenthesis and commas.</w:t>
      </w:r>
    </w:p>
    <w:p w14:paraId="6661B7D4" w14:textId="378C2411" w:rsidR="00054734" w:rsidRDefault="007E799A" w:rsidP="00A100E0">
      <w:r>
        <w:t xml:space="preserve">Fields of the type </w:t>
      </w:r>
      <w:r w:rsidRPr="007E799A">
        <w:rPr>
          <w:b/>
          <w:bCs/>
        </w:rPr>
        <w:t>id</w:t>
      </w:r>
      <w:r>
        <w:t xml:space="preserve"> are preceded by a hash, e.g.</w:t>
      </w:r>
      <w:r w:rsidR="00DD0FD5">
        <w:t>,</w:t>
      </w:r>
      <w:r>
        <w:t xml:space="preserve"> #28</w:t>
      </w:r>
    </w:p>
    <w:p w14:paraId="028A20E7" w14:textId="4B218E1B" w:rsidR="003C4BA3" w:rsidRDefault="003C4BA3" w:rsidP="003C4BA3">
      <w:pPr>
        <w:ind w:left="708"/>
      </w:pPr>
      <w:r>
        <w:t xml:space="preserve">They are coded </w:t>
      </w:r>
      <w:r>
        <w:t>without the hash</w:t>
      </w:r>
      <w:r>
        <w:t xml:space="preserve"> in the CSV file</w:t>
      </w:r>
      <w:r>
        <w:t>, e.g.</w:t>
      </w:r>
      <w:r w:rsidR="00F01393">
        <w:t>,</w:t>
      </w:r>
      <w:r>
        <w:t xml:space="preserve"> 28</w:t>
      </w:r>
      <w:r w:rsidR="0086079C">
        <w:t>, following the class name</w:t>
      </w:r>
      <w:r w:rsidR="00B34573">
        <w:t>, as follows:</w:t>
      </w:r>
    </w:p>
    <w:p w14:paraId="774D5DCB" w14:textId="01D47EB3" w:rsidR="00B34573" w:rsidRDefault="00B34573" w:rsidP="003C4BA3">
      <w:pPr>
        <w:ind w:left="708"/>
      </w:pPr>
      <w:r w:rsidRPr="00D45875">
        <w:rPr>
          <w:rFonts w:ascii="Courier New" w:hAnsi="Courier New" w:cs="Courier New"/>
          <w:color w:val="0070C0"/>
        </w:rPr>
        <w:t>…</w:t>
      </w:r>
      <w:r w:rsidRPr="00D45875">
        <w:rPr>
          <w:rFonts w:ascii="Courier New" w:hAnsi="Courier New" w:cs="Courier New"/>
        </w:rPr>
        <w:t xml:space="preserve"> </w:t>
      </w:r>
      <w:r>
        <w:t>class 28</w:t>
      </w:r>
      <w:r w:rsidRPr="007C5D4B">
        <w:rPr>
          <w:rFonts w:ascii="Courier New" w:hAnsi="Courier New" w:cs="Courier New"/>
          <w:lang w:val="pt-BR"/>
        </w:rPr>
        <w:t xml:space="preserve"> </w:t>
      </w:r>
      <w:r w:rsidRPr="007C5D4B">
        <w:rPr>
          <w:rFonts w:ascii="Courier New" w:hAnsi="Courier New" w:cs="Courier New"/>
          <w:color w:val="0070C0"/>
          <w:lang w:val="pt-BR"/>
        </w:rPr>
        <w:t>…</w:t>
      </w:r>
    </w:p>
    <w:p w14:paraId="7B522049" w14:textId="25969D47" w:rsidR="007E799A" w:rsidRDefault="007E799A" w:rsidP="00A100E0">
      <w:r>
        <w:t xml:space="preserve">Fields of the type </w:t>
      </w:r>
      <w:r w:rsidRPr="007E799A">
        <w:rPr>
          <w:b/>
          <w:bCs/>
        </w:rPr>
        <w:t>idlist</w:t>
      </w:r>
      <w:r>
        <w:t xml:space="preserve"> </w:t>
      </w:r>
      <w:r w:rsidR="00FF5355">
        <w:t xml:space="preserve">and </w:t>
      </w:r>
      <w:r w:rsidR="00FF5355" w:rsidRPr="00FF5355">
        <w:rPr>
          <w:b/>
          <w:bCs/>
        </w:rPr>
        <w:t xml:space="preserve">cidlist </w:t>
      </w:r>
      <w:r>
        <w:t>are enclosed in parenthesis, e.g. (#143)</w:t>
      </w:r>
      <w:r w:rsidR="00FD2794">
        <w:t xml:space="preserve"> </w:t>
      </w:r>
      <w:r>
        <w:t xml:space="preserve"> (#278,#279,#280)</w:t>
      </w:r>
    </w:p>
    <w:p w14:paraId="102882BF" w14:textId="03DF15CA" w:rsidR="00A100E0" w:rsidRDefault="00A100E0" w:rsidP="00A100E0">
      <w:r>
        <w:t xml:space="preserve">A referenced class of type </w:t>
      </w:r>
      <w:r w:rsidRPr="00AF3741">
        <w:rPr>
          <w:b/>
          <w:bCs/>
        </w:rPr>
        <w:t>c</w:t>
      </w:r>
      <w:r w:rsidRPr="000469C2">
        <w:rPr>
          <w:b/>
          <w:bCs/>
        </w:rPr>
        <w:t>idlist</w:t>
      </w:r>
      <w:r>
        <w:t xml:space="preserve"> is a generalization of several classes. For example, the class </w:t>
      </w:r>
      <w:r w:rsidRPr="000469C2">
        <w:rPr>
          <w:b/>
          <w:bCs/>
        </w:rPr>
        <w:t>IfcPhysicalQuantity</w:t>
      </w:r>
      <w:r>
        <w:t xml:space="preserve"> refrenced in the field </w:t>
      </w:r>
      <w:r w:rsidRPr="000469C2">
        <w:rPr>
          <w:b/>
          <w:bCs/>
        </w:rPr>
        <w:t>Quantities</w:t>
      </w:r>
      <w:r>
        <w:t xml:space="preserve"> of the </w:t>
      </w:r>
      <w:r w:rsidRPr="000469C2">
        <w:rPr>
          <w:b/>
          <w:bCs/>
        </w:rPr>
        <w:t>IfcElementQuantity</w:t>
      </w:r>
      <w:r>
        <w:t xml:space="preserve"> class, can refer to </w:t>
      </w:r>
      <w:r w:rsidR="009C4861">
        <w:t xml:space="preserve">any of a number of subclasses, as shown on Table </w:t>
      </w:r>
      <w:r w:rsidR="00984941">
        <w:t>2</w:t>
      </w:r>
      <w:r>
        <w:t>.</w:t>
      </w:r>
      <w:r w:rsidR="009C4861">
        <w:t xml:space="preserve"> </w:t>
      </w:r>
      <w:r>
        <w:t xml:space="preserve">When the IFC file is read, the actual class being referenced will be determined indirectly by its </w:t>
      </w:r>
      <w:r w:rsidRPr="00FA16BA">
        <w:rPr>
          <w:b/>
          <w:bCs/>
        </w:rPr>
        <w:t>id</w:t>
      </w:r>
      <w:r>
        <w:t>.</w:t>
      </w:r>
    </w:p>
    <w:p w14:paraId="27DDFCB2" w14:textId="77777777" w:rsidR="00BD7EA2" w:rsidRDefault="00BD7EA2" w:rsidP="00BD7EA2">
      <w:pPr>
        <w:keepNext/>
      </w:pPr>
      <w:r>
        <w:t xml:space="preserve">For </w:t>
      </w:r>
      <w:r w:rsidRPr="00A5437F">
        <w:rPr>
          <w:b/>
          <w:bCs/>
        </w:rPr>
        <w:t>m</w:t>
      </w:r>
      <w:r>
        <w:t xml:space="preserve"> distinct subclass occurrences of the referenced class, NIST IFC File Analyzer would produce an output of each classes’ </w:t>
      </w:r>
      <w:r w:rsidRPr="00A5437F">
        <w:rPr>
          <w:b/>
          <w:bCs/>
        </w:rPr>
        <w:t>n</w:t>
      </w:r>
      <w:r w:rsidRPr="00A5437F">
        <w:rPr>
          <w:b/>
          <w:bCs/>
          <w:sz w:val="28"/>
          <w:szCs w:val="28"/>
          <w:vertAlign w:val="subscript"/>
        </w:rPr>
        <w:t>m</w:t>
      </w:r>
      <w:r>
        <w:t xml:space="preserve"> instances’ ids, as follows:</w:t>
      </w:r>
    </w:p>
    <w:p w14:paraId="0A33FF06" w14:textId="4B40AE78" w:rsidR="00BD7EA2" w:rsidRPr="007C5D4B" w:rsidRDefault="00BD7EA2" w:rsidP="00BD7EA2">
      <w:pPr>
        <w:spacing w:after="240"/>
        <w:rPr>
          <w:rFonts w:ascii="Courier New" w:hAnsi="Courier New" w:cs="Courier New"/>
          <w:lang w:val="pt-BR"/>
        </w:rPr>
      </w:pPr>
      <w:r w:rsidRPr="00D45875">
        <w:rPr>
          <w:rFonts w:ascii="Courier New" w:hAnsi="Courier New" w:cs="Courier New"/>
          <w:color w:val="0070C0"/>
        </w:rPr>
        <w:t>…</w:t>
      </w:r>
      <w:r w:rsidRPr="00D45875">
        <w:rPr>
          <w:rFonts w:ascii="Courier New" w:hAnsi="Courier New" w:cs="Courier New"/>
        </w:rPr>
        <w:t xml:space="preserve"> (n</w:t>
      </w:r>
      <w:r w:rsidRPr="00D45875">
        <w:rPr>
          <w:rFonts w:ascii="Courier New" w:hAnsi="Courier New" w:cs="Courier New"/>
          <w:sz w:val="28"/>
          <w:szCs w:val="28"/>
          <w:vertAlign w:val="subscript"/>
        </w:rPr>
        <w:t>1</w:t>
      </w:r>
      <w:r w:rsidRPr="00D45875">
        <w:rPr>
          <w:rFonts w:ascii="Courier New" w:hAnsi="Courier New" w:cs="Courier New"/>
        </w:rPr>
        <w:t>) class</w:t>
      </w:r>
      <w:r w:rsidRPr="00D45875">
        <w:rPr>
          <w:rFonts w:ascii="Courier New" w:hAnsi="Courier New" w:cs="Courier New"/>
          <w:sz w:val="28"/>
          <w:szCs w:val="28"/>
          <w:vertAlign w:val="subscript"/>
        </w:rPr>
        <w:t>1</w:t>
      </w:r>
      <w:r w:rsidRPr="00D45875">
        <w:rPr>
          <w:rFonts w:ascii="Courier New" w:hAnsi="Courier New" w:cs="Courier New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</w:rPr>
        <w:t>1.1</w:t>
      </w:r>
      <w:r w:rsidRPr="00D45875">
        <w:rPr>
          <w:rFonts w:ascii="Courier New" w:hAnsi="Courier New" w:cs="Courier New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</w:rPr>
        <w:t>[</w:t>
      </w:r>
      <w:r w:rsidRPr="00D45875">
        <w:rPr>
          <w:rFonts w:ascii="Courier New" w:hAnsi="Courier New" w:cs="Courier New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</w:rPr>
        <w:t>1.2</w:t>
      </w:r>
      <w:r w:rsidRPr="00D45875">
        <w:rPr>
          <w:rFonts w:ascii="Courier New" w:hAnsi="Courier New" w:cs="Courier New"/>
        </w:rPr>
        <w:t xml:space="preserve"> </w:t>
      </w:r>
      <w:r w:rsidRPr="00D45875">
        <w:rPr>
          <w:rFonts w:ascii="Courier New" w:hAnsi="Courier New" w:cs="Courier New"/>
          <w:color w:val="0070C0"/>
        </w:rPr>
        <w:t>…</w:t>
      </w:r>
      <w:r w:rsidRPr="00D45875">
        <w:rPr>
          <w:rFonts w:ascii="Courier New" w:hAnsi="Courier New" w:cs="Courier New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</w:rPr>
        <w:t>1.n1</w:t>
      </w:r>
      <w:r w:rsidRPr="0022526E">
        <w:rPr>
          <w:rFonts w:ascii="Courier New" w:hAnsi="Courier New" w:cs="Courier New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</w:rPr>
        <w:t>]</w:t>
      </w:r>
      <w:r w:rsidRPr="00D45875">
        <w:rPr>
          <w:rFonts w:ascii="Courier New" w:hAnsi="Courier New" w:cs="Courier New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</w:rPr>
        <w:t>[</w:t>
      </w:r>
      <w:r>
        <w:rPr>
          <w:rFonts w:ascii="Courier New" w:hAnsi="Courier New" w:cs="Courier New"/>
          <w:color w:val="0070C0"/>
          <w:sz w:val="28"/>
          <w:szCs w:val="28"/>
        </w:rPr>
        <w:t xml:space="preserve"> </w:t>
      </w:r>
      <w:r w:rsidRPr="00D45875">
        <w:rPr>
          <w:rFonts w:ascii="Courier New" w:hAnsi="Courier New" w:cs="Courier New"/>
          <w:color w:val="0070C0"/>
        </w:rPr>
        <w:t>…</w:t>
      </w:r>
      <w:r w:rsidRPr="00D45875">
        <w:rPr>
          <w:rFonts w:ascii="Courier New" w:hAnsi="Courier New" w:cs="Courier New"/>
        </w:rPr>
        <w:t xml:space="preserve"> </w:t>
      </w:r>
      <w:r w:rsidRPr="00D45875">
        <w:rPr>
          <w:rFonts w:ascii="Courier New" w:hAnsi="Courier New" w:cs="Courier New"/>
          <w:lang w:val="pt-BR"/>
        </w:rPr>
        <w:t>(n</w:t>
      </w:r>
      <w:r w:rsidRPr="00D45875">
        <w:rPr>
          <w:rFonts w:ascii="Courier New" w:hAnsi="Courier New" w:cs="Courier New"/>
          <w:sz w:val="28"/>
          <w:szCs w:val="28"/>
          <w:vertAlign w:val="subscript"/>
          <w:lang w:val="pt-BR"/>
        </w:rPr>
        <w:t>m</w:t>
      </w:r>
      <w:r w:rsidRPr="00D45875">
        <w:rPr>
          <w:rFonts w:ascii="Courier New" w:hAnsi="Courier New" w:cs="Courier New"/>
          <w:lang w:val="pt-BR"/>
        </w:rPr>
        <w:t>) class</w:t>
      </w:r>
      <w:r w:rsidRPr="00D45875">
        <w:rPr>
          <w:rFonts w:ascii="Courier New" w:hAnsi="Courier New" w:cs="Courier New"/>
          <w:sz w:val="28"/>
          <w:szCs w:val="28"/>
          <w:vertAlign w:val="subscript"/>
          <w:lang w:val="pt-BR"/>
        </w:rPr>
        <w:t>m</w:t>
      </w:r>
      <w:r w:rsidRPr="00D45875">
        <w:rPr>
          <w:rFonts w:ascii="Courier New" w:hAnsi="Courier New" w:cs="Courier New"/>
          <w:lang w:val="pt-BR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  <w:lang w:val="pt-BR"/>
        </w:rPr>
        <w:t>m.1</w:t>
      </w:r>
      <w:r w:rsidRPr="00D45875">
        <w:rPr>
          <w:rFonts w:ascii="Courier New" w:hAnsi="Courier New" w:cs="Courier New"/>
          <w:lang w:val="pt-BR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  <w:lang w:val="pt-BR"/>
        </w:rPr>
        <w:t>[</w:t>
      </w:r>
      <w:r w:rsidRPr="00D45875">
        <w:rPr>
          <w:rFonts w:ascii="Courier New" w:hAnsi="Courier New" w:cs="Courier New"/>
          <w:lang w:val="pt-BR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  <w:lang w:val="pt-BR"/>
        </w:rPr>
        <w:t>m.2</w:t>
      </w:r>
      <w:r w:rsidRPr="00D45875">
        <w:rPr>
          <w:rFonts w:ascii="Courier New" w:hAnsi="Courier New" w:cs="Courier New"/>
          <w:lang w:val="pt-BR"/>
        </w:rPr>
        <w:t xml:space="preserve"> </w:t>
      </w:r>
      <w:r w:rsidRPr="00D45875">
        <w:rPr>
          <w:rFonts w:ascii="Courier New" w:hAnsi="Courier New" w:cs="Courier New"/>
          <w:color w:val="0070C0"/>
          <w:lang w:val="pt-BR"/>
        </w:rPr>
        <w:t>…</w:t>
      </w:r>
      <w:r w:rsidRPr="00D45875">
        <w:rPr>
          <w:rFonts w:ascii="Courier New" w:hAnsi="Courier New" w:cs="Courier New"/>
          <w:lang w:val="pt-BR"/>
        </w:rPr>
        <w:t xml:space="preserve"> id</w:t>
      </w:r>
      <w:r w:rsidRPr="00D45875">
        <w:rPr>
          <w:rFonts w:ascii="Courier New" w:hAnsi="Courier New" w:cs="Courier New"/>
          <w:sz w:val="28"/>
          <w:szCs w:val="28"/>
          <w:vertAlign w:val="subscript"/>
          <w:lang w:val="pt-BR"/>
        </w:rPr>
        <w:t>m.nm</w:t>
      </w:r>
      <w:r w:rsidRPr="00D45875">
        <w:rPr>
          <w:rFonts w:ascii="Courier New" w:hAnsi="Courier New" w:cs="Courier New"/>
          <w:lang w:val="pt-BR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  <w:lang w:val="pt-BR"/>
        </w:rPr>
        <w:t>]</w:t>
      </w:r>
      <w:r>
        <w:rPr>
          <w:rFonts w:ascii="Courier New" w:hAnsi="Courier New" w:cs="Courier New"/>
          <w:lang w:val="pt-BR"/>
        </w:rPr>
        <w:t xml:space="preserve"> </w:t>
      </w:r>
      <w:r w:rsidRPr="00D45875">
        <w:rPr>
          <w:rFonts w:ascii="Courier New" w:hAnsi="Courier New" w:cs="Courier New"/>
          <w:color w:val="0070C0"/>
          <w:sz w:val="28"/>
          <w:szCs w:val="28"/>
          <w:lang w:val="pt-BR"/>
        </w:rPr>
        <w:t>]</w:t>
      </w:r>
      <w:r w:rsidR="007C5D4B" w:rsidRPr="007C5D4B">
        <w:rPr>
          <w:rFonts w:ascii="Courier New" w:hAnsi="Courier New" w:cs="Courier New"/>
          <w:lang w:val="pt-BR"/>
        </w:rPr>
        <w:t xml:space="preserve"> </w:t>
      </w:r>
      <w:r w:rsidR="007C5D4B" w:rsidRPr="007C5D4B">
        <w:rPr>
          <w:rFonts w:ascii="Courier New" w:hAnsi="Courier New" w:cs="Courier New"/>
          <w:color w:val="0070C0"/>
          <w:lang w:val="pt-BR"/>
        </w:rPr>
        <w:t>…</w:t>
      </w:r>
    </w:p>
    <w:p w14:paraId="7D2C8883" w14:textId="05690BD9" w:rsidR="00A100E0" w:rsidRDefault="00A100E0" w:rsidP="00A100E0">
      <w:r>
        <w:lastRenderedPageBreak/>
        <w:t xml:space="preserve">Fields of the type </w:t>
      </w:r>
      <w:r w:rsidRPr="00924940">
        <w:rPr>
          <w:b/>
          <w:bCs/>
        </w:rPr>
        <w:t>idlist</w:t>
      </w:r>
      <w:r>
        <w:t xml:space="preserve">, despite referencing a single ifc class, may </w:t>
      </w:r>
      <w:r w:rsidR="000F6CBE">
        <w:t xml:space="preserve">also </w:t>
      </w:r>
      <w:r>
        <w:t xml:space="preserve">actually refer to one of its subclasses, for example, one of the subclasses of </w:t>
      </w:r>
      <w:r w:rsidRPr="00AD2D67">
        <w:rPr>
          <w:b/>
          <w:bCs/>
        </w:rPr>
        <w:t>IfcPropertySetDefinition</w:t>
      </w:r>
      <w:r>
        <w:t>.</w:t>
      </w:r>
    </w:p>
    <w:p w14:paraId="307E1376" w14:textId="28F91FAD" w:rsidR="00A100E0" w:rsidRDefault="00A100E0" w:rsidP="00A100E0">
      <w:r>
        <w:t xml:space="preserve">Also, there is the case, when the class can be either itself or a subclass, for example, </w:t>
      </w:r>
      <w:r w:rsidRPr="00924940">
        <w:rPr>
          <w:b/>
          <w:bCs/>
        </w:rPr>
        <w:t>IfcGeometricRepresentationContext</w:t>
      </w:r>
      <w:r>
        <w:t xml:space="preserve"> and its subclass </w:t>
      </w:r>
      <w:r w:rsidRPr="00924940">
        <w:rPr>
          <w:b/>
          <w:bCs/>
        </w:rPr>
        <w:t>IfcGeometricRepresentationSubContext</w:t>
      </w:r>
      <w:r w:rsidR="00C66164">
        <w:t>, as shown on Table 3</w:t>
      </w:r>
    </w:p>
    <w:p w14:paraId="6B1D40C5" w14:textId="684F6912" w:rsidR="00A100E0" w:rsidRDefault="00A100E0" w:rsidP="007C5D4B">
      <w:pPr>
        <w:keepNext/>
        <w:spacing w:before="240" w:after="80"/>
      </w:pPr>
      <w:r>
        <w:t xml:space="preserve">Table </w:t>
      </w:r>
      <w:r w:rsidR="00984941">
        <w:t>2</w:t>
      </w:r>
      <w:r>
        <w:t xml:space="preserve"> – some referenced abstract classes and their subclasses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68"/>
        <w:gridCol w:w="6126"/>
      </w:tblGrid>
      <w:tr w:rsidR="009C4861" w:rsidRPr="009D579F" w14:paraId="12A5539B" w14:textId="77777777" w:rsidTr="00405211">
        <w:tc>
          <w:tcPr>
            <w:tcW w:w="0" w:type="auto"/>
          </w:tcPr>
          <w:p w14:paraId="59443FA7" w14:textId="6232E547" w:rsidR="009C4861" w:rsidRPr="009C4861" w:rsidRDefault="00984941" w:rsidP="00747125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 xml:space="preserve">Abstract </w:t>
            </w:r>
            <w:r w:rsidR="009C4861" w:rsidRPr="009C4861">
              <w:rPr>
                <w:b/>
                <w:bCs/>
              </w:rPr>
              <w:t>class</w:t>
            </w:r>
          </w:p>
        </w:tc>
        <w:tc>
          <w:tcPr>
            <w:tcW w:w="0" w:type="auto"/>
          </w:tcPr>
          <w:p w14:paraId="2A4ACCF3" w14:textId="51DD4DC7" w:rsidR="009C4861" w:rsidRPr="009C4861" w:rsidRDefault="009C4861" w:rsidP="00747125">
            <w:pPr>
              <w:keepNext/>
              <w:keepLines/>
              <w:rPr>
                <w:b/>
                <w:bCs/>
              </w:rPr>
            </w:pPr>
            <w:r w:rsidRPr="009C4861">
              <w:rPr>
                <w:b/>
                <w:bCs/>
              </w:rPr>
              <w:t>Subclasses</w:t>
            </w:r>
            <w:r w:rsidR="00984941">
              <w:rPr>
                <w:b/>
                <w:bCs/>
              </w:rPr>
              <w:t xml:space="preserve"> actually referenced</w:t>
            </w:r>
          </w:p>
        </w:tc>
      </w:tr>
      <w:tr w:rsidR="00984941" w:rsidRPr="009D579F" w14:paraId="29B1E979" w14:textId="77777777" w:rsidTr="00405211">
        <w:tc>
          <w:tcPr>
            <w:tcW w:w="0" w:type="auto"/>
          </w:tcPr>
          <w:p w14:paraId="3496A38F" w14:textId="4D42D763" w:rsidR="00984941" w:rsidRPr="000A2148" w:rsidRDefault="00984941" w:rsidP="00747125">
            <w:pPr>
              <w:keepNext/>
              <w:keepLines/>
            </w:pPr>
            <w:r w:rsidRPr="009D579F">
              <w:t>IfcPropertySetDefinition</w:t>
            </w:r>
          </w:p>
        </w:tc>
        <w:tc>
          <w:tcPr>
            <w:tcW w:w="0" w:type="auto"/>
          </w:tcPr>
          <w:p w14:paraId="120D7799" w14:textId="184DCFFA" w:rsidR="00984941" w:rsidRPr="000A2148" w:rsidRDefault="00984941" w:rsidP="00747125">
            <w:pPr>
              <w:keepNext/>
              <w:keepLines/>
            </w:pPr>
            <w:r w:rsidRPr="009D579F">
              <w:t>IfcPropertySet, IfcElementQuantity, IfcDoorLiningProperties, IfcDoorPanelProperties, IfcPermeableCoveringProperties, IfcReinforcementDefinitionProperties, IfcWindowLiningProperties, IfcWindowPanelProperties</w:t>
            </w:r>
          </w:p>
        </w:tc>
      </w:tr>
      <w:tr w:rsidR="00984941" w:rsidRPr="009D579F" w14:paraId="65222843" w14:textId="77777777" w:rsidTr="00405211">
        <w:tc>
          <w:tcPr>
            <w:tcW w:w="0" w:type="auto"/>
          </w:tcPr>
          <w:p w14:paraId="6E1738D0" w14:textId="77777777" w:rsidR="00984941" w:rsidRPr="005C2D87" w:rsidRDefault="00984941" w:rsidP="00747125">
            <w:pPr>
              <w:keepLines/>
            </w:pPr>
            <w:r w:rsidRPr="005C2D87">
              <w:t>IfcPhysicalQuantity</w:t>
            </w:r>
          </w:p>
        </w:tc>
        <w:tc>
          <w:tcPr>
            <w:tcW w:w="0" w:type="auto"/>
          </w:tcPr>
          <w:p w14:paraId="0BEB838B" w14:textId="77777777" w:rsidR="00984941" w:rsidRPr="009D579F" w:rsidRDefault="00984941" w:rsidP="00747125">
            <w:pPr>
              <w:keepLines/>
            </w:pPr>
            <w:r>
              <w:t>IfcQuantityArea, IfcQuantityCount, IfcQuantityLength, IfcQuantityTime, IfcQuantityVolume, IfcQuantityWeight, IfcPhysicalComplexQuantity</w:t>
            </w:r>
          </w:p>
        </w:tc>
      </w:tr>
    </w:tbl>
    <w:p w14:paraId="6B0316CD" w14:textId="3B5D54A2" w:rsidR="00C21E37" w:rsidRDefault="00984941" w:rsidP="007C5D4B">
      <w:pPr>
        <w:keepNext/>
        <w:spacing w:before="240" w:after="120"/>
      </w:pPr>
      <w:r>
        <w:t xml:space="preserve">Table 3 – </w:t>
      </w:r>
      <w:r w:rsidR="00BD2A31">
        <w:t xml:space="preserve">some </w:t>
      </w:r>
      <w:r>
        <w:t>classes that have specialization(s)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25"/>
        <w:gridCol w:w="3757"/>
      </w:tblGrid>
      <w:tr w:rsidR="00984941" w:rsidRPr="009D579F" w14:paraId="03836DBE" w14:textId="77777777" w:rsidTr="0056775D">
        <w:tc>
          <w:tcPr>
            <w:tcW w:w="0" w:type="auto"/>
          </w:tcPr>
          <w:p w14:paraId="48FF39AE" w14:textId="0A6138B2" w:rsidR="00984941" w:rsidRPr="009C4861" w:rsidRDefault="00984941" w:rsidP="00747125">
            <w:pPr>
              <w:keepNext/>
              <w:rPr>
                <w:b/>
                <w:bCs/>
              </w:rPr>
            </w:pPr>
            <w:r w:rsidRPr="009C4861">
              <w:rPr>
                <w:b/>
                <w:bCs/>
              </w:rPr>
              <w:t>Referenced class</w:t>
            </w:r>
          </w:p>
        </w:tc>
        <w:tc>
          <w:tcPr>
            <w:tcW w:w="0" w:type="auto"/>
          </w:tcPr>
          <w:p w14:paraId="02549FCF" w14:textId="6B5D0CAE" w:rsidR="00984941" w:rsidRPr="009C4861" w:rsidRDefault="00984941" w:rsidP="00747125">
            <w:pPr>
              <w:keepNext/>
              <w:rPr>
                <w:b/>
                <w:bCs/>
              </w:rPr>
            </w:pPr>
            <w:r w:rsidRPr="009C4861">
              <w:rPr>
                <w:b/>
                <w:bCs/>
              </w:rPr>
              <w:t>Subclasse</w:t>
            </w:r>
            <w:r>
              <w:rPr>
                <w:b/>
                <w:bCs/>
              </w:rPr>
              <w:t>(</w:t>
            </w:r>
            <w:r w:rsidRPr="009C4861">
              <w:rPr>
                <w:b/>
                <w:bCs/>
              </w:rPr>
              <w:t>s</w:t>
            </w:r>
            <w:r>
              <w:rPr>
                <w:b/>
                <w:bCs/>
              </w:rPr>
              <w:t>)</w:t>
            </w:r>
          </w:p>
        </w:tc>
      </w:tr>
      <w:tr w:rsidR="00984941" w:rsidRPr="009D579F" w14:paraId="49F4A48D" w14:textId="77777777" w:rsidTr="0056775D">
        <w:tc>
          <w:tcPr>
            <w:tcW w:w="0" w:type="auto"/>
          </w:tcPr>
          <w:p w14:paraId="6415C593" w14:textId="6BBC5317" w:rsidR="00984941" w:rsidRPr="009D579F" w:rsidRDefault="00984941" w:rsidP="00747125">
            <w:pPr>
              <w:keepNext/>
            </w:pPr>
            <w:r w:rsidRPr="000A2148">
              <w:t>IfcGeometricRepresentationContext</w:t>
            </w:r>
          </w:p>
        </w:tc>
        <w:tc>
          <w:tcPr>
            <w:tcW w:w="0" w:type="auto"/>
          </w:tcPr>
          <w:p w14:paraId="3249880A" w14:textId="77777777" w:rsidR="00984941" w:rsidRPr="009D579F" w:rsidRDefault="00984941" w:rsidP="00747125">
            <w:pPr>
              <w:keepNext/>
            </w:pPr>
            <w:r w:rsidRPr="000A2148">
              <w:t>IfcGeometricRepresentation</w:t>
            </w:r>
            <w:r>
              <w:t>Sub</w:t>
            </w:r>
            <w:r w:rsidRPr="000A2148">
              <w:t>Context</w:t>
            </w:r>
          </w:p>
        </w:tc>
      </w:tr>
      <w:tr w:rsidR="00984941" w:rsidRPr="009D579F" w14:paraId="6809553F" w14:textId="77777777" w:rsidTr="0056775D">
        <w:tc>
          <w:tcPr>
            <w:tcW w:w="0" w:type="auto"/>
          </w:tcPr>
          <w:p w14:paraId="6295A703" w14:textId="32CC7824" w:rsidR="00984941" w:rsidRPr="009D579F" w:rsidRDefault="00984941" w:rsidP="0056775D">
            <w:r>
              <w:t>IfcRelAssignsToGroup</w:t>
            </w:r>
          </w:p>
        </w:tc>
        <w:tc>
          <w:tcPr>
            <w:tcW w:w="0" w:type="auto"/>
          </w:tcPr>
          <w:p w14:paraId="22350B90" w14:textId="77777777" w:rsidR="00984941" w:rsidRPr="009D579F" w:rsidRDefault="00984941" w:rsidP="0056775D">
            <w:r>
              <w:t>IfcRelAssignsToGroupByFactor</w:t>
            </w:r>
          </w:p>
        </w:tc>
      </w:tr>
    </w:tbl>
    <w:p w14:paraId="332AFFBF" w14:textId="77777777" w:rsidR="00984941" w:rsidRDefault="00984941"/>
    <w:p w14:paraId="7CA4B5F5" w14:textId="77777777" w:rsidR="0069533A" w:rsidRDefault="0069533A" w:rsidP="0069533A">
      <w:r w:rsidRPr="00AD42D5">
        <w:rPr>
          <w:u w:val="single"/>
        </w:rPr>
        <w:t>Note</w:t>
      </w:r>
      <w:r>
        <w:t xml:space="preserve">: except for </w:t>
      </w:r>
      <w:r w:rsidRPr="00AD42D5">
        <w:rPr>
          <w:b/>
          <w:bCs/>
        </w:rPr>
        <w:t>boolean</w:t>
      </w:r>
      <w:r>
        <w:t xml:space="preserve">, </w:t>
      </w:r>
      <w:r w:rsidRPr="00AD42D5">
        <w:rPr>
          <w:b/>
          <w:bCs/>
        </w:rPr>
        <w:t>enumerated</w:t>
      </w:r>
      <w:r>
        <w:t xml:space="preserve"> and </w:t>
      </w:r>
      <w:r w:rsidRPr="00AD42D5">
        <w:rPr>
          <w:b/>
          <w:bCs/>
        </w:rPr>
        <w:t>cvalue</w:t>
      </w:r>
      <w:r>
        <w:t xml:space="preserve">, empty values (null) take the form </w:t>
      </w:r>
      <w:r w:rsidRPr="00AD42D5">
        <w:rPr>
          <w:b/>
          <w:bCs/>
        </w:rPr>
        <w:t>$</w:t>
      </w:r>
      <w:r>
        <w:t xml:space="preserve"> or </w:t>
      </w:r>
      <w:r w:rsidRPr="0001346C">
        <w:rPr>
          <w:b/>
          <w:bCs/>
          <w:sz w:val="28"/>
          <w:szCs w:val="28"/>
        </w:rPr>
        <w:t>*</w:t>
      </w:r>
      <w:r>
        <w:t>.</w:t>
      </w:r>
    </w:p>
    <w:p w14:paraId="55E5823F" w14:textId="77777777" w:rsidR="0069533A" w:rsidRDefault="0069533A" w:rsidP="0069533A">
      <w:pPr>
        <w:ind w:left="708"/>
      </w:pPr>
      <w:r>
        <w:t>They are coded as null in the CSV file, i.e., no value between commas.</w:t>
      </w:r>
    </w:p>
    <w:p w14:paraId="25A2B2E5" w14:textId="77777777" w:rsidR="00800553" w:rsidRDefault="00800553"/>
    <w:p w14:paraId="71A69D80" w14:textId="77777777" w:rsidR="00800553" w:rsidRDefault="00800553"/>
    <w:p w14:paraId="27540082" w14:textId="77777777" w:rsidR="00800553" w:rsidRDefault="00800553">
      <w:pPr>
        <w:sectPr w:rsidR="0080055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C4B1075" w14:textId="21A000E8" w:rsidR="00C21E37" w:rsidRDefault="00800553">
      <w:r>
        <w:lastRenderedPageBreak/>
        <w:t>Examples:</w:t>
      </w:r>
    </w:p>
    <w:p w14:paraId="4809C2B5" w14:textId="66C875B5" w:rsidR="00C1534A" w:rsidRPr="00C1534A" w:rsidRDefault="00C1534A">
      <w:pPr>
        <w:rPr>
          <w:b/>
          <w:bCs/>
        </w:rPr>
      </w:pPr>
      <w:r w:rsidRPr="00C1534A">
        <w:rPr>
          <w:b/>
          <w:bCs/>
        </w:rPr>
        <w:t>IFC</w:t>
      </w:r>
    </w:p>
    <w:p w14:paraId="1C47D4B4" w14:textId="0F1E89FA" w:rsidR="00800553" w:rsidRDefault="00800553">
      <w:pPr>
        <w:rPr>
          <w:lang w:val="pt-BR"/>
        </w:rPr>
      </w:pPr>
      <w:r w:rsidRPr="00800553">
        <w:rPr>
          <w:lang w:val="pt-BR"/>
        </w:rPr>
        <w:t>#119= IFCPROJECT('0yOsZLRTrE8g8RJluhuq53',#41,'0001',$,$,'Nome do projeto','Status do projeto',(#111),#106);</w:t>
      </w:r>
    </w:p>
    <w:p w14:paraId="68F8B620" w14:textId="77777777" w:rsidR="00C1534A" w:rsidRDefault="00C1534A">
      <w:pPr>
        <w:rPr>
          <w:lang w:val="pt-BR"/>
        </w:rPr>
      </w:pPr>
    </w:p>
    <w:p w14:paraId="02F7BE68" w14:textId="57140536" w:rsidR="00C1534A" w:rsidRPr="00C1534A" w:rsidRDefault="00C1534A">
      <w:pPr>
        <w:rPr>
          <w:b/>
          <w:bCs/>
        </w:rPr>
      </w:pPr>
      <w:r w:rsidRPr="00C1534A">
        <w:rPr>
          <w:b/>
          <w:bCs/>
        </w:rPr>
        <w:t>C2V-IfcProject.txt</w:t>
      </w:r>
    </w:p>
    <w:p w14:paraId="75934C6E" w14:textId="77777777" w:rsidR="00C1534A" w:rsidRPr="00C1534A" w:rsidRDefault="00C1534A" w:rsidP="00C1534A">
      <w:pPr>
        <w:contextualSpacing/>
      </w:pPr>
      <w:r w:rsidRPr="00C1534A">
        <w:t>GlobalId text</w:t>
      </w:r>
    </w:p>
    <w:p w14:paraId="2EE81BFC" w14:textId="77777777" w:rsidR="00C1534A" w:rsidRPr="00C1534A" w:rsidRDefault="00C1534A" w:rsidP="00C1534A">
      <w:pPr>
        <w:contextualSpacing/>
      </w:pPr>
      <w:r w:rsidRPr="00C1534A">
        <w:t>OwnerHistory id</w:t>
      </w:r>
    </w:p>
    <w:p w14:paraId="19866E7D" w14:textId="77777777" w:rsidR="00C1534A" w:rsidRPr="00C1534A" w:rsidRDefault="00C1534A" w:rsidP="00C1534A">
      <w:pPr>
        <w:contextualSpacing/>
      </w:pPr>
      <w:r w:rsidRPr="00C1534A">
        <w:t>Name text</w:t>
      </w:r>
    </w:p>
    <w:p w14:paraId="55496004" w14:textId="77777777" w:rsidR="00C1534A" w:rsidRPr="00C1534A" w:rsidRDefault="00C1534A" w:rsidP="00C1534A">
      <w:pPr>
        <w:contextualSpacing/>
      </w:pPr>
      <w:r w:rsidRPr="00C1534A">
        <w:t>Description text</w:t>
      </w:r>
    </w:p>
    <w:p w14:paraId="7AF5528A" w14:textId="77777777" w:rsidR="00C1534A" w:rsidRPr="00C1534A" w:rsidRDefault="00C1534A" w:rsidP="00C1534A">
      <w:pPr>
        <w:contextualSpacing/>
      </w:pPr>
      <w:r w:rsidRPr="00C1534A">
        <w:t>ObjectType text</w:t>
      </w:r>
    </w:p>
    <w:p w14:paraId="306C7736" w14:textId="77777777" w:rsidR="00C1534A" w:rsidRPr="00C1534A" w:rsidRDefault="00C1534A" w:rsidP="00C1534A">
      <w:pPr>
        <w:contextualSpacing/>
      </w:pPr>
      <w:r w:rsidRPr="00C1534A">
        <w:t>LongName text</w:t>
      </w:r>
    </w:p>
    <w:p w14:paraId="4C262EDA" w14:textId="77777777" w:rsidR="00C1534A" w:rsidRPr="00C1534A" w:rsidRDefault="00C1534A" w:rsidP="00C1534A">
      <w:pPr>
        <w:contextualSpacing/>
      </w:pPr>
      <w:r w:rsidRPr="00C1534A">
        <w:t>Phase text</w:t>
      </w:r>
    </w:p>
    <w:p w14:paraId="6FE05209" w14:textId="77777777" w:rsidR="00C1534A" w:rsidRPr="00C1534A" w:rsidRDefault="00C1534A" w:rsidP="00C1534A">
      <w:pPr>
        <w:contextualSpacing/>
      </w:pPr>
      <w:r w:rsidRPr="00C1534A">
        <w:t>RepresentationContexts idlist</w:t>
      </w:r>
    </w:p>
    <w:p w14:paraId="24878DF5" w14:textId="0BB8123E" w:rsidR="00C1534A" w:rsidRDefault="00C1534A" w:rsidP="00C1534A">
      <w:pPr>
        <w:rPr>
          <w:lang w:val="pt-BR"/>
        </w:rPr>
      </w:pPr>
      <w:r w:rsidRPr="00C1534A">
        <w:rPr>
          <w:lang w:val="pt-BR"/>
        </w:rPr>
        <w:t>UnitsInContext id</w:t>
      </w:r>
    </w:p>
    <w:p w14:paraId="7269ABD3" w14:textId="77777777" w:rsidR="00C1534A" w:rsidRDefault="00C1534A">
      <w:pPr>
        <w:rPr>
          <w:lang w:val="pt-BR"/>
        </w:rPr>
      </w:pPr>
    </w:p>
    <w:p w14:paraId="6396334C" w14:textId="1C55DB76" w:rsidR="00C1534A" w:rsidRPr="00C1534A" w:rsidRDefault="00C1534A">
      <w:pPr>
        <w:rPr>
          <w:b/>
          <w:bCs/>
        </w:rPr>
      </w:pPr>
      <w:r w:rsidRPr="00C1534A">
        <w:rPr>
          <w:b/>
          <w:bCs/>
        </w:rPr>
        <w:t>CSV (NIST IFC File Analyser)</w:t>
      </w:r>
    </w:p>
    <w:p w14:paraId="57438508" w14:textId="77777777" w:rsidR="00C1534A" w:rsidRPr="00C1534A" w:rsidRDefault="00C1534A" w:rsidP="008657E4">
      <w:pPr>
        <w:contextualSpacing/>
      </w:pPr>
      <w:r w:rsidRPr="00C1534A">
        <w:t>IfcProject (1)</w:t>
      </w:r>
    </w:p>
    <w:p w14:paraId="54536D54" w14:textId="77777777" w:rsidR="00C1534A" w:rsidRPr="00C1534A" w:rsidRDefault="00C1534A" w:rsidP="008657E4">
      <w:pPr>
        <w:contextualSpacing/>
      </w:pPr>
      <w:r w:rsidRPr="00C1534A">
        <w:t>ID,GlobalId,OwnerHistory,Name,Description,ObjectType,LongName,Phase,RepresentationContexts,UnitsInContext</w:t>
      </w:r>
    </w:p>
    <w:p w14:paraId="3B065B88" w14:textId="1F961F29" w:rsidR="00C1534A" w:rsidRDefault="00C1534A" w:rsidP="00C1534A">
      <w:pPr>
        <w:rPr>
          <w:lang w:val="pt-BR"/>
        </w:rPr>
      </w:pPr>
      <w:r w:rsidRPr="00C1534A">
        <w:rPr>
          <w:lang w:val="pt-BR"/>
        </w:rPr>
        <w:t>119,0yOsZLRTrE8g8RJluhuq53,IfcOwnerHistory 41,0001,,,Nome do projeto,Status do projeto,(1) IfcGeometricRepresentationContext 111,IfcUnitAssignment 106</w:t>
      </w:r>
    </w:p>
    <w:p w14:paraId="03797283" w14:textId="4082FB32" w:rsidR="00C1534A" w:rsidRPr="00512E77" w:rsidRDefault="00512E77" w:rsidP="00C1534A">
      <w:r w:rsidRPr="00512E77">
        <w:t>Ifc</w:t>
      </w:r>
      <w:r>
        <w:t>Analyser only puts strings inside quotes when needed.</w:t>
      </w:r>
    </w:p>
    <w:p w14:paraId="13E1D05A" w14:textId="07D5ED85" w:rsidR="00D86915" w:rsidRPr="00512E77" w:rsidRDefault="00D86915" w:rsidP="00D86915">
      <w:pPr>
        <w:keepNext/>
        <w:rPr>
          <w:b/>
          <w:bCs/>
        </w:rPr>
      </w:pPr>
      <w:r w:rsidRPr="00512E77">
        <w:rPr>
          <w:b/>
          <w:bCs/>
        </w:rPr>
        <w:lastRenderedPageBreak/>
        <w:t>CSV generated by PQTO</w:t>
      </w:r>
    </w:p>
    <w:p w14:paraId="6D99E6D3" w14:textId="77777777" w:rsidR="00D86915" w:rsidRPr="00C1534A" w:rsidRDefault="00D86915" w:rsidP="008657E4">
      <w:pPr>
        <w:keepNext/>
        <w:contextualSpacing/>
      </w:pPr>
      <w:r w:rsidRPr="00C1534A">
        <w:t>IfcProject (1)</w:t>
      </w:r>
    </w:p>
    <w:p w14:paraId="4439273C" w14:textId="77777777" w:rsidR="00D86915" w:rsidRPr="00C1534A" w:rsidRDefault="00D86915" w:rsidP="008657E4">
      <w:pPr>
        <w:keepNext/>
        <w:contextualSpacing/>
      </w:pPr>
      <w:r w:rsidRPr="00C1534A">
        <w:t>ID,GlobalId,OwnerHistory,Name,Description,ObjectType,LongName,Phase,RepresentationContexts,UnitsInContext</w:t>
      </w:r>
    </w:p>
    <w:p w14:paraId="5FA308EE" w14:textId="1336931B" w:rsidR="00D86915" w:rsidRPr="00C01DB3" w:rsidRDefault="00D86915" w:rsidP="00D86915">
      <w:pPr>
        <w:rPr>
          <w:lang w:val="pt-BR"/>
        </w:rPr>
      </w:pPr>
      <w:r w:rsidRPr="00C01DB3">
        <w:rPr>
          <w:lang w:val="pt-BR"/>
        </w:rPr>
        <w:t>119,0yOsZLRTrE8g8RJluhuq53,,0001,,,Nome do projeto,Status do projeto,,</w:t>
      </w:r>
    </w:p>
    <w:p w14:paraId="39E41803" w14:textId="48295120" w:rsidR="00D86915" w:rsidRDefault="009D4E05" w:rsidP="00C1534A">
      <w:r w:rsidRPr="009D4E05">
        <w:t xml:space="preserve">OwneHistory, </w:t>
      </w:r>
      <w:r w:rsidRPr="00C1534A">
        <w:t>RepresentationContexts,</w:t>
      </w:r>
      <w:r>
        <w:t xml:space="preserve"> and </w:t>
      </w:r>
      <w:r w:rsidRPr="00C1534A">
        <w:t>UnitsInContext</w:t>
      </w:r>
      <w:r>
        <w:t xml:space="preserve"> are not listed in the C2V-IfcClasses.txt file, so they receive no value.</w:t>
      </w:r>
    </w:p>
    <w:p w14:paraId="26ECF4C9" w14:textId="77777777" w:rsidR="009D4E05" w:rsidRPr="009D4E05" w:rsidRDefault="009D4E05" w:rsidP="00C1534A"/>
    <w:sectPr w:rsidR="009D4E05" w:rsidRPr="009D4E05" w:rsidSect="0080055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B78A8" w14:textId="77777777" w:rsidR="00E57E41" w:rsidRDefault="00E57E41" w:rsidP="00CB4076">
      <w:pPr>
        <w:spacing w:after="0" w:line="240" w:lineRule="auto"/>
      </w:pPr>
      <w:r>
        <w:separator/>
      </w:r>
    </w:p>
  </w:endnote>
  <w:endnote w:type="continuationSeparator" w:id="0">
    <w:p w14:paraId="2068EA13" w14:textId="77777777" w:rsidR="00E57E41" w:rsidRDefault="00E57E41" w:rsidP="00CB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AC32" w14:textId="77777777" w:rsidR="00E57E41" w:rsidRDefault="00E57E41" w:rsidP="00CB4076">
      <w:pPr>
        <w:spacing w:after="0" w:line="240" w:lineRule="auto"/>
      </w:pPr>
      <w:r>
        <w:separator/>
      </w:r>
    </w:p>
  </w:footnote>
  <w:footnote w:type="continuationSeparator" w:id="0">
    <w:p w14:paraId="045F712D" w14:textId="77777777" w:rsidR="00E57E41" w:rsidRDefault="00E57E41" w:rsidP="00CB4076">
      <w:pPr>
        <w:spacing w:after="0" w:line="240" w:lineRule="auto"/>
      </w:pPr>
      <w:r>
        <w:continuationSeparator/>
      </w:r>
    </w:p>
  </w:footnote>
  <w:footnote w:id="1">
    <w:p w14:paraId="565DF8B8" w14:textId="109FD609" w:rsidR="00CB4076" w:rsidRPr="00CB4076" w:rsidRDefault="00CB4076">
      <w:pPr>
        <w:pStyle w:val="Textodenotaderodap"/>
      </w:pPr>
      <w:r>
        <w:rPr>
          <w:rStyle w:val="Refdenotaderodap"/>
        </w:rPr>
        <w:footnoteRef/>
      </w:r>
      <w:r>
        <w:t xml:space="preserve"> Classes’ own ids are a common required property and thus its addition to the field list does not yield any information.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5B"/>
    <w:rsid w:val="00010024"/>
    <w:rsid w:val="0001346C"/>
    <w:rsid w:val="0002285D"/>
    <w:rsid w:val="00022D2D"/>
    <w:rsid w:val="000469C2"/>
    <w:rsid w:val="00054734"/>
    <w:rsid w:val="0005756D"/>
    <w:rsid w:val="0006635A"/>
    <w:rsid w:val="0007149B"/>
    <w:rsid w:val="000837C1"/>
    <w:rsid w:val="000844B7"/>
    <w:rsid w:val="00084617"/>
    <w:rsid w:val="0009678A"/>
    <w:rsid w:val="000A2148"/>
    <w:rsid w:val="000A66C6"/>
    <w:rsid w:val="000B197C"/>
    <w:rsid w:val="000F6CBE"/>
    <w:rsid w:val="00117945"/>
    <w:rsid w:val="00147C09"/>
    <w:rsid w:val="001746B0"/>
    <w:rsid w:val="00191579"/>
    <w:rsid w:val="001A1FA7"/>
    <w:rsid w:val="001A3C1E"/>
    <w:rsid w:val="001B6051"/>
    <w:rsid w:val="001F00DC"/>
    <w:rsid w:val="00202FAB"/>
    <w:rsid w:val="0022526E"/>
    <w:rsid w:val="0024673E"/>
    <w:rsid w:val="00254CB9"/>
    <w:rsid w:val="00255C79"/>
    <w:rsid w:val="0026278C"/>
    <w:rsid w:val="002660C0"/>
    <w:rsid w:val="002750C8"/>
    <w:rsid w:val="00286809"/>
    <w:rsid w:val="002952D0"/>
    <w:rsid w:val="002B4E33"/>
    <w:rsid w:val="003211DA"/>
    <w:rsid w:val="00335A29"/>
    <w:rsid w:val="00346EDD"/>
    <w:rsid w:val="00350A50"/>
    <w:rsid w:val="0036646E"/>
    <w:rsid w:val="003A34E2"/>
    <w:rsid w:val="003A52D5"/>
    <w:rsid w:val="003A6BAF"/>
    <w:rsid w:val="003C4BA3"/>
    <w:rsid w:val="00400285"/>
    <w:rsid w:val="00401722"/>
    <w:rsid w:val="00446128"/>
    <w:rsid w:val="00486F21"/>
    <w:rsid w:val="004A55C5"/>
    <w:rsid w:val="004D7749"/>
    <w:rsid w:val="004E3427"/>
    <w:rsid w:val="00512E77"/>
    <w:rsid w:val="005672B9"/>
    <w:rsid w:val="00585487"/>
    <w:rsid w:val="005B0041"/>
    <w:rsid w:val="005C2D87"/>
    <w:rsid w:val="00601193"/>
    <w:rsid w:val="0060330B"/>
    <w:rsid w:val="00612378"/>
    <w:rsid w:val="00627C1C"/>
    <w:rsid w:val="0065497C"/>
    <w:rsid w:val="0066740D"/>
    <w:rsid w:val="0069533A"/>
    <w:rsid w:val="006A78D7"/>
    <w:rsid w:val="006C0EFB"/>
    <w:rsid w:val="006C1728"/>
    <w:rsid w:val="007145EB"/>
    <w:rsid w:val="00717F50"/>
    <w:rsid w:val="007213C7"/>
    <w:rsid w:val="00725C71"/>
    <w:rsid w:val="00747125"/>
    <w:rsid w:val="00750DA3"/>
    <w:rsid w:val="0076385A"/>
    <w:rsid w:val="0079035C"/>
    <w:rsid w:val="007B1FF4"/>
    <w:rsid w:val="007C5D4B"/>
    <w:rsid w:val="007E7345"/>
    <w:rsid w:val="007E799A"/>
    <w:rsid w:val="007F17E6"/>
    <w:rsid w:val="00800553"/>
    <w:rsid w:val="008567F1"/>
    <w:rsid w:val="0086079C"/>
    <w:rsid w:val="008657E4"/>
    <w:rsid w:val="0087275B"/>
    <w:rsid w:val="008759C4"/>
    <w:rsid w:val="008845CF"/>
    <w:rsid w:val="00886A4B"/>
    <w:rsid w:val="008A2E7A"/>
    <w:rsid w:val="00915F12"/>
    <w:rsid w:val="00924940"/>
    <w:rsid w:val="00942227"/>
    <w:rsid w:val="0095241E"/>
    <w:rsid w:val="0095515B"/>
    <w:rsid w:val="00957AFD"/>
    <w:rsid w:val="00983015"/>
    <w:rsid w:val="00984941"/>
    <w:rsid w:val="009B79AD"/>
    <w:rsid w:val="009C4861"/>
    <w:rsid w:val="009D4E05"/>
    <w:rsid w:val="009D579F"/>
    <w:rsid w:val="00A100E0"/>
    <w:rsid w:val="00A129FF"/>
    <w:rsid w:val="00A1720A"/>
    <w:rsid w:val="00A229DE"/>
    <w:rsid w:val="00A2715C"/>
    <w:rsid w:val="00A31C05"/>
    <w:rsid w:val="00A343BB"/>
    <w:rsid w:val="00A40DF7"/>
    <w:rsid w:val="00A440F5"/>
    <w:rsid w:val="00A50425"/>
    <w:rsid w:val="00A5437F"/>
    <w:rsid w:val="00A623DC"/>
    <w:rsid w:val="00AA5DBC"/>
    <w:rsid w:val="00AB684C"/>
    <w:rsid w:val="00AD2D67"/>
    <w:rsid w:val="00AD42D5"/>
    <w:rsid w:val="00AF3741"/>
    <w:rsid w:val="00B34573"/>
    <w:rsid w:val="00B42C23"/>
    <w:rsid w:val="00B77DFF"/>
    <w:rsid w:val="00B84BC5"/>
    <w:rsid w:val="00B9715E"/>
    <w:rsid w:val="00BD2A31"/>
    <w:rsid w:val="00BD7EA2"/>
    <w:rsid w:val="00BF648C"/>
    <w:rsid w:val="00C01DB3"/>
    <w:rsid w:val="00C1534A"/>
    <w:rsid w:val="00C21E37"/>
    <w:rsid w:val="00C44493"/>
    <w:rsid w:val="00C47CCC"/>
    <w:rsid w:val="00C63E1D"/>
    <w:rsid w:val="00C65815"/>
    <w:rsid w:val="00C66164"/>
    <w:rsid w:val="00C94A9F"/>
    <w:rsid w:val="00C96C0C"/>
    <w:rsid w:val="00C96C74"/>
    <w:rsid w:val="00CB4076"/>
    <w:rsid w:val="00CD752C"/>
    <w:rsid w:val="00CF1AEC"/>
    <w:rsid w:val="00D45875"/>
    <w:rsid w:val="00D7021C"/>
    <w:rsid w:val="00D86915"/>
    <w:rsid w:val="00D94828"/>
    <w:rsid w:val="00DA662E"/>
    <w:rsid w:val="00DB6A6F"/>
    <w:rsid w:val="00DC47BE"/>
    <w:rsid w:val="00DD0FD5"/>
    <w:rsid w:val="00DE5CD9"/>
    <w:rsid w:val="00E46168"/>
    <w:rsid w:val="00E476CA"/>
    <w:rsid w:val="00E57E41"/>
    <w:rsid w:val="00E7461D"/>
    <w:rsid w:val="00E76B72"/>
    <w:rsid w:val="00EC69B4"/>
    <w:rsid w:val="00EE6EC8"/>
    <w:rsid w:val="00F01393"/>
    <w:rsid w:val="00F73E4C"/>
    <w:rsid w:val="00F7478F"/>
    <w:rsid w:val="00FA16BA"/>
    <w:rsid w:val="00FA53FB"/>
    <w:rsid w:val="00FC4224"/>
    <w:rsid w:val="00FC6027"/>
    <w:rsid w:val="00FD2794"/>
    <w:rsid w:val="00FE3399"/>
    <w:rsid w:val="00FF3D5F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59AB0"/>
  <w15:chartTrackingRefBased/>
  <w15:docId w15:val="{83C8F7CE-3688-4536-8D9B-6443F6B5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915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D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B0041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B407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B4076"/>
    <w:rPr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CB40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7C24-E979-46E3-9CE0-547385BD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7</Pages>
  <Words>1411</Words>
  <Characters>7620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152</cp:revision>
  <cp:lastPrinted>2023-05-10T16:11:00Z</cp:lastPrinted>
  <dcterms:created xsi:type="dcterms:W3CDTF">2023-05-09T19:24:00Z</dcterms:created>
  <dcterms:modified xsi:type="dcterms:W3CDTF">2023-05-31T15:47:00Z</dcterms:modified>
</cp:coreProperties>
</file>